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今晚月色真美呢" w:hAnsi="今晚月色真美呢" w:eastAsia="今晚月色真美呢" w:cs="今晚月色真美呢"/>
          <w:b/>
          <w:sz w:val="80"/>
          <w:szCs w:val="80"/>
        </w:rPr>
      </w:pPr>
      <w:bookmarkStart w:id="0" w:name="_Hlk49176733"/>
      <w:r>
        <w:rPr>
          <w:rFonts w:hint="eastAsia" w:ascii="今晚月色真美呢" w:hAnsi="今晚月色真美呢" w:eastAsia="今晚月色真美呢" w:cs="今晚月色真美呢"/>
          <w:b/>
          <w:sz w:val="80"/>
          <w:szCs w:val="80"/>
        </w:rPr>
        <w:t>社会责任报告</w:t>
      </w:r>
    </w:p>
    <w:p>
      <w:pPr>
        <w:spacing w:line="360" w:lineRule="auto"/>
        <w:jc w:val="center"/>
        <w:rPr>
          <w:rFonts w:ascii="今晚月色真美呢" w:hAnsi="今晚月色真美呢" w:eastAsia="今晚月色真美呢" w:cs="今晚月色真美呢"/>
          <w:b/>
          <w:sz w:val="80"/>
          <w:szCs w:val="80"/>
        </w:rPr>
      </w:pPr>
      <w:r>
        <w:rPr>
          <w:rFonts w:hint="eastAsia" w:ascii="今晚月色真美呢" w:hAnsi="今晚月色真美呢" w:eastAsia="今晚月色真美呢" w:cs="今晚月色真美呢"/>
          <w:b/>
          <w:sz w:val="80"/>
          <w:szCs w:val="80"/>
        </w:rPr>
        <w:t>（2022年）</w:t>
      </w:r>
    </w:p>
    <w:p>
      <w:pPr>
        <w:spacing w:line="312" w:lineRule="auto"/>
        <w:jc w:val="center"/>
        <w:rPr>
          <w:rFonts w:ascii="宋体" w:hAnsi="宋体" w:eastAsia="宋体" w:cs="Times New Roman"/>
          <w:b/>
          <w:sz w:val="36"/>
          <w:szCs w:val="36"/>
        </w:rPr>
      </w:pPr>
    </w:p>
    <w:p>
      <w:pPr>
        <w:spacing w:line="312" w:lineRule="auto"/>
        <w:jc w:val="center"/>
        <w:rPr>
          <w:rFonts w:ascii="宋体" w:hAnsi="宋体" w:eastAsia="宋体" w:cs="Times New Roman"/>
          <w:b/>
          <w:sz w:val="36"/>
          <w:szCs w:val="36"/>
        </w:rPr>
      </w:pPr>
    </w:p>
    <w:p>
      <w:pPr>
        <w:spacing w:line="312" w:lineRule="auto"/>
        <w:jc w:val="center"/>
        <w:rPr>
          <w:rFonts w:ascii="宋体" w:hAnsi="宋体" w:eastAsia="宋体" w:cs="Times New Roman"/>
          <w:b/>
          <w:sz w:val="36"/>
          <w:szCs w:val="36"/>
        </w:rPr>
      </w:pPr>
      <w:r>
        <w:rPr>
          <w:rFonts w:hint="eastAsia" w:ascii="宋体" w:hAnsi="宋体" w:eastAsia="宋体" w:cs="Times New Roman"/>
          <w:b/>
          <w:sz w:val="80"/>
          <w:szCs w:val="80"/>
        </w:rPr>
        <w:drawing>
          <wp:inline distT="0" distB="0" distL="114300" distR="114300">
            <wp:extent cx="5911850" cy="868045"/>
            <wp:effectExtent l="0" t="0" r="1270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911850" cy="868045"/>
                    </a:xfrm>
                    <a:prstGeom prst="rect">
                      <a:avLst/>
                    </a:prstGeom>
                    <a:noFill/>
                    <a:ln>
                      <a:noFill/>
                    </a:ln>
                  </pic:spPr>
                </pic:pic>
              </a:graphicData>
            </a:graphic>
          </wp:inline>
        </w:drawing>
      </w:r>
    </w:p>
    <w:p>
      <w:pPr>
        <w:spacing w:line="312" w:lineRule="auto"/>
        <w:jc w:val="center"/>
        <w:rPr>
          <w:rFonts w:ascii="宋体" w:hAnsi="宋体" w:eastAsia="宋体" w:cs="Times New Roman"/>
          <w:b/>
          <w:sz w:val="36"/>
          <w:szCs w:val="36"/>
        </w:rPr>
      </w:pPr>
    </w:p>
    <w:p>
      <w:pPr>
        <w:spacing w:line="312" w:lineRule="auto"/>
        <w:jc w:val="center"/>
        <w:rPr>
          <w:rFonts w:ascii="宋体" w:hAnsi="宋体" w:eastAsia="宋体" w:cs="Times New Roman"/>
          <w:b/>
          <w:sz w:val="36"/>
          <w:szCs w:val="36"/>
        </w:rPr>
      </w:pPr>
    </w:p>
    <w:p>
      <w:pPr>
        <w:spacing w:line="312" w:lineRule="auto"/>
        <w:jc w:val="center"/>
        <w:rPr>
          <w:rFonts w:ascii="宋体" w:hAnsi="宋体" w:eastAsia="宋体" w:cs="Times New Roman"/>
          <w:b/>
          <w:sz w:val="36"/>
          <w:szCs w:val="36"/>
        </w:rPr>
      </w:pPr>
    </w:p>
    <w:p>
      <w:pPr>
        <w:spacing w:line="312" w:lineRule="auto"/>
        <w:jc w:val="center"/>
        <w:rPr>
          <w:rFonts w:ascii="宋体" w:hAnsi="宋体" w:eastAsia="宋体" w:cs="Times New Roman"/>
          <w:b/>
          <w:sz w:val="36"/>
          <w:szCs w:val="36"/>
        </w:rPr>
      </w:pPr>
    </w:p>
    <w:p>
      <w:pPr>
        <w:spacing w:line="312" w:lineRule="auto"/>
        <w:jc w:val="center"/>
        <w:rPr>
          <w:rFonts w:ascii="宋体" w:hAnsi="宋体" w:eastAsia="宋体" w:cs="Times New Roman"/>
          <w:b/>
          <w:sz w:val="36"/>
          <w:szCs w:val="36"/>
        </w:rPr>
      </w:pPr>
    </w:p>
    <w:p>
      <w:pPr>
        <w:spacing w:line="312" w:lineRule="auto"/>
        <w:jc w:val="center"/>
        <w:rPr>
          <w:rFonts w:ascii="宋体" w:hAnsi="宋体" w:eastAsia="宋体" w:cs="Times New Roman"/>
          <w:b/>
          <w:sz w:val="36"/>
          <w:szCs w:val="36"/>
        </w:rPr>
      </w:pPr>
    </w:p>
    <w:p>
      <w:pPr>
        <w:spacing w:line="312" w:lineRule="auto"/>
        <w:jc w:val="center"/>
        <w:rPr>
          <w:rFonts w:ascii="宋体" w:hAnsi="宋体" w:eastAsia="宋体" w:cs="Times New Roman"/>
          <w:b/>
          <w:sz w:val="36"/>
          <w:szCs w:val="36"/>
        </w:rPr>
      </w:pPr>
    </w:p>
    <w:p>
      <w:pPr>
        <w:spacing w:line="312" w:lineRule="auto"/>
        <w:jc w:val="center"/>
        <w:rPr>
          <w:rFonts w:ascii="今晚月色真美呢" w:hAnsi="今晚月色真美呢" w:eastAsia="今晚月色真美呢" w:cs="今晚月色真美呢"/>
          <w:b/>
          <w:sz w:val="36"/>
          <w:szCs w:val="36"/>
        </w:rPr>
      </w:pPr>
      <w:r>
        <w:rPr>
          <w:rFonts w:hint="eastAsia" w:ascii="今晚月色真美呢" w:hAnsi="今晚月色真美呢" w:eastAsia="今晚月色真美呢" w:cs="今晚月色真美呢"/>
          <w:b/>
          <w:sz w:val="36"/>
          <w:szCs w:val="36"/>
        </w:rPr>
        <w:t>杭州川禾机械有限公司</w:t>
      </w:r>
    </w:p>
    <w:p>
      <w:pPr>
        <w:spacing w:line="312" w:lineRule="auto"/>
        <w:jc w:val="center"/>
        <w:rPr>
          <w:rFonts w:ascii="宋体" w:hAnsi="宋体" w:eastAsia="宋体" w:cs="Times New Roman"/>
          <w:b/>
          <w:sz w:val="36"/>
          <w:szCs w:val="36"/>
        </w:rPr>
      </w:pPr>
      <w:r>
        <w:rPr>
          <w:rFonts w:hint="eastAsia" w:ascii="今晚月色真美呢" w:hAnsi="今晚月色真美呢" w:eastAsia="今晚月色真美呢" w:cs="今晚月色真美呢"/>
          <w:b/>
          <w:sz w:val="36"/>
          <w:szCs w:val="36"/>
        </w:rPr>
        <w:t>2023年06月</w:t>
      </w:r>
    </w:p>
    <w:p>
      <w:pPr>
        <w:rPr>
          <w:rFonts w:ascii="宋体" w:hAnsi="宋体" w:cs="宋体"/>
          <w:b/>
          <w:bCs/>
          <w:color w:val="000000"/>
          <w:kern w:val="32"/>
          <w:sz w:val="28"/>
          <w:szCs w:val="28"/>
        </w:rPr>
        <w:sectPr>
          <w:footerReference r:id="rId3" w:type="default"/>
          <w:pgSz w:w="11906" w:h="16838"/>
          <w:pgMar w:top="1440" w:right="1800" w:bottom="1440" w:left="1800" w:header="851" w:footer="992" w:gutter="0"/>
          <w:cols w:space="425" w:num="1"/>
          <w:titlePg/>
          <w:docGrid w:type="lines" w:linePitch="312" w:charSpace="0"/>
        </w:sectPr>
      </w:pPr>
      <w:r>
        <w:rPr>
          <w:rFonts w:hint="eastAsia" w:ascii="宋体" w:hAnsi="宋体" w:eastAsia="宋体" w:cs="宋体"/>
          <w:b/>
          <w:bCs/>
          <w:color w:val="000000"/>
          <w:kern w:val="32"/>
          <w:sz w:val="28"/>
          <w:szCs w:val="28"/>
        </w:rPr>
        <w:br w:type="page"/>
      </w:r>
    </w:p>
    <w:p>
      <w:pPr>
        <w:spacing w:line="360" w:lineRule="auto"/>
        <w:jc w:val="center"/>
        <w:rPr>
          <w:rFonts w:ascii="黑体" w:hAnsi="黑体" w:eastAsia="黑体"/>
          <w:sz w:val="40"/>
          <w:szCs w:val="44"/>
        </w:rPr>
      </w:pPr>
      <w:r>
        <w:rPr>
          <w:rFonts w:hint="eastAsia" w:ascii="黑体" w:hAnsi="黑体" w:eastAsia="黑体"/>
          <w:sz w:val="40"/>
          <w:szCs w:val="44"/>
        </w:rPr>
        <w:t>浙江川禾机械有限公司</w:t>
      </w:r>
      <w:r>
        <w:rPr>
          <w:rFonts w:ascii="黑体" w:hAnsi="黑体" w:eastAsia="黑体"/>
          <w:sz w:val="40"/>
          <w:szCs w:val="44"/>
        </w:rPr>
        <w:br w:type="textWrapping"/>
      </w:r>
      <w:r>
        <w:rPr>
          <w:rFonts w:hint="eastAsia" w:ascii="黑体" w:hAnsi="黑体" w:eastAsia="黑体"/>
          <w:sz w:val="40"/>
          <w:szCs w:val="44"/>
        </w:rPr>
        <w:t>社会责任报告</w:t>
      </w:r>
    </w:p>
    <w:bookmarkEnd w:id="0"/>
    <w:p>
      <w:pPr>
        <w:spacing w:before="312" w:beforeLines="100" w:after="312" w:afterLines="100" w:line="360" w:lineRule="auto"/>
        <w:jc w:val="center"/>
        <w:outlineLvl w:val="0"/>
        <w:rPr>
          <w:rFonts w:ascii="黑体" w:hAnsi="黑体" w:eastAsia="黑体"/>
          <w:sz w:val="32"/>
          <w:szCs w:val="32"/>
        </w:rPr>
      </w:pPr>
      <w:r>
        <w:rPr>
          <w:rFonts w:hint="eastAsia" w:ascii="黑体" w:hAnsi="黑体" w:eastAsia="黑体"/>
          <w:sz w:val="32"/>
          <w:szCs w:val="32"/>
        </w:rPr>
        <w:t>第一部分 前言</w:t>
      </w:r>
    </w:p>
    <w:p>
      <w:pPr>
        <w:spacing w:before="156" w:beforeLines="50" w:line="360" w:lineRule="auto"/>
        <w:jc w:val="left"/>
        <w:outlineLvl w:val="1"/>
        <w:rPr>
          <w:rFonts w:ascii="宋体" w:hAnsi="宋体" w:eastAsia="宋体"/>
          <w:b/>
          <w:sz w:val="28"/>
          <w:szCs w:val="28"/>
        </w:rPr>
      </w:pPr>
      <w:r>
        <w:rPr>
          <w:rFonts w:hint="eastAsia" w:ascii="宋体" w:hAnsi="宋体" w:eastAsia="宋体"/>
          <w:b/>
          <w:sz w:val="28"/>
          <w:szCs w:val="28"/>
        </w:rPr>
        <w:t>一、报告编制规范</w:t>
      </w:r>
    </w:p>
    <w:p>
      <w:pPr>
        <w:spacing w:line="360" w:lineRule="auto"/>
        <w:ind w:firstLine="480" w:firstLineChars="200"/>
        <w:rPr>
          <w:rFonts w:ascii="宋体" w:hAnsi="宋体" w:eastAsia="宋体"/>
          <w:sz w:val="24"/>
          <w:szCs w:val="24"/>
        </w:rPr>
      </w:pPr>
      <w:r>
        <w:rPr>
          <w:rFonts w:ascii="宋体" w:hAnsi="宋体" w:eastAsia="宋体"/>
          <w:sz w:val="24"/>
          <w:szCs w:val="24"/>
        </w:rPr>
        <w:t>《</w:t>
      </w:r>
      <w:r>
        <w:rPr>
          <w:rFonts w:hint="eastAsia" w:ascii="宋体" w:hAnsi="宋体" w:eastAsia="宋体"/>
          <w:sz w:val="24"/>
          <w:szCs w:val="24"/>
        </w:rPr>
        <w:t>杭州川禾机械有限公司 社会责任报告</w:t>
      </w:r>
      <w:r>
        <w:rPr>
          <w:rFonts w:ascii="宋体" w:hAnsi="宋体" w:eastAsia="宋体"/>
          <w:sz w:val="24"/>
          <w:szCs w:val="24"/>
        </w:rPr>
        <w:t>》回顾了</w:t>
      </w:r>
      <w:r>
        <w:rPr>
          <w:rFonts w:hint="eastAsia" w:ascii="宋体" w:hAnsi="宋体" w:eastAsia="宋体"/>
          <w:sz w:val="24"/>
          <w:szCs w:val="24"/>
        </w:rPr>
        <w:t>浙江川禾机械有限公司</w:t>
      </w:r>
      <w:r>
        <w:rPr>
          <w:rFonts w:ascii="宋体" w:hAnsi="宋体" w:eastAsia="宋体"/>
          <w:sz w:val="24"/>
          <w:szCs w:val="24"/>
        </w:rPr>
        <w:t>在</w:t>
      </w:r>
      <w:r>
        <w:rPr>
          <w:rFonts w:hint="eastAsia" w:ascii="宋体" w:hAnsi="宋体" w:eastAsia="宋体"/>
          <w:sz w:val="24"/>
          <w:szCs w:val="24"/>
        </w:rPr>
        <w:t>社会责任实践</w:t>
      </w:r>
      <w:r>
        <w:rPr>
          <w:rFonts w:ascii="宋体" w:hAnsi="宋体" w:eastAsia="宋体"/>
          <w:sz w:val="24"/>
          <w:szCs w:val="24"/>
        </w:rPr>
        <w:t>方面的理念、制度、措施以及取得的成效。关于本报告的披露内容，说明如下：</w:t>
      </w:r>
    </w:p>
    <w:p>
      <w:pPr>
        <w:spacing w:line="360" w:lineRule="auto"/>
        <w:ind w:firstLine="562" w:firstLineChars="200"/>
        <w:outlineLvl w:val="2"/>
        <w:rPr>
          <w:rFonts w:ascii="宋体" w:hAnsi="宋体" w:eastAsia="宋体" w:cs="宋体"/>
          <w:b/>
          <w:kern w:val="0"/>
          <w:sz w:val="28"/>
          <w:szCs w:val="28"/>
          <w:lang w:val="zh-CN"/>
        </w:rPr>
      </w:pPr>
      <w:r>
        <w:rPr>
          <w:rFonts w:hint="eastAsia" w:ascii="宋体" w:hAnsi="宋体" w:eastAsia="宋体" w:cs="宋体"/>
          <w:b/>
          <w:kern w:val="0"/>
          <w:sz w:val="28"/>
          <w:szCs w:val="28"/>
          <w:lang w:val="zh-CN"/>
        </w:rPr>
        <w:t>（一）报告范围</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报告的组织范围：杭州川禾机械有限公司</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报告的时间范围：2</w:t>
      </w:r>
      <w:r>
        <w:rPr>
          <w:rFonts w:ascii="宋体" w:hAnsi="宋体" w:eastAsia="宋体"/>
          <w:sz w:val="24"/>
          <w:szCs w:val="24"/>
        </w:rPr>
        <w:t>0</w:t>
      </w:r>
      <w:r>
        <w:rPr>
          <w:rFonts w:hint="eastAsia" w:ascii="宋体" w:hAnsi="宋体" w:eastAsia="宋体"/>
          <w:sz w:val="24"/>
          <w:szCs w:val="24"/>
        </w:rPr>
        <w:t>22年1月-</w:t>
      </w:r>
      <w:r>
        <w:rPr>
          <w:rFonts w:ascii="宋体" w:hAnsi="宋体" w:eastAsia="宋体"/>
          <w:sz w:val="24"/>
          <w:szCs w:val="24"/>
        </w:rPr>
        <w:t>12</w:t>
      </w:r>
      <w:r>
        <w:rPr>
          <w:rFonts w:hint="eastAsia" w:ascii="宋体" w:hAnsi="宋体" w:eastAsia="宋体"/>
          <w:sz w:val="24"/>
          <w:szCs w:val="24"/>
        </w:rPr>
        <w:t>月</w:t>
      </w:r>
    </w:p>
    <w:p>
      <w:pPr>
        <w:spacing w:line="360" w:lineRule="auto"/>
        <w:ind w:firstLine="480" w:firstLineChars="200"/>
        <w:rPr>
          <w:rFonts w:ascii="宋体" w:hAnsi="宋体" w:eastAsia="宋体"/>
          <w:sz w:val="24"/>
          <w:szCs w:val="24"/>
        </w:rPr>
      </w:pPr>
      <w:r>
        <w:rPr>
          <w:rFonts w:hint="eastAsia" w:ascii="宋体" w:hAnsi="宋体" w:eastAsia="宋体"/>
          <w:sz w:val="24"/>
          <w:szCs w:val="24"/>
        </w:rPr>
        <w:t>报告的发布周期：年度发布</w:t>
      </w:r>
    </w:p>
    <w:p>
      <w:pPr>
        <w:spacing w:line="360" w:lineRule="auto"/>
        <w:ind w:firstLine="562" w:firstLineChars="200"/>
        <w:outlineLvl w:val="2"/>
        <w:rPr>
          <w:rFonts w:ascii="宋体" w:hAnsi="宋体" w:eastAsia="宋体" w:cs="宋体"/>
          <w:b/>
          <w:kern w:val="0"/>
          <w:sz w:val="28"/>
          <w:szCs w:val="28"/>
          <w:lang w:val="zh-CN"/>
        </w:rPr>
      </w:pPr>
      <w:r>
        <w:rPr>
          <w:rFonts w:hint="eastAsia" w:ascii="宋体" w:hAnsi="宋体" w:eastAsia="宋体" w:cs="宋体"/>
          <w:b/>
          <w:kern w:val="0"/>
          <w:sz w:val="28"/>
          <w:szCs w:val="28"/>
          <w:lang w:val="zh-CN"/>
        </w:rPr>
        <w:t>（二）报告内容客观性说明</w:t>
      </w:r>
    </w:p>
    <w:p>
      <w:pPr>
        <w:spacing w:line="360" w:lineRule="auto"/>
        <w:ind w:firstLine="480" w:firstLineChars="200"/>
        <w:rPr>
          <w:rFonts w:ascii="宋体" w:hAnsi="宋体" w:eastAsia="宋体"/>
          <w:sz w:val="24"/>
          <w:szCs w:val="24"/>
        </w:rPr>
      </w:pPr>
      <w:r>
        <w:rPr>
          <w:rFonts w:ascii="宋体" w:hAnsi="宋体" w:eastAsia="宋体"/>
          <w:sz w:val="24"/>
          <w:szCs w:val="24"/>
        </w:rPr>
        <w:t>本报告完全依托公司生产经营实际情况而编写，内容客观公正，绝无虚假信息，定期公布，以接受社会的监督指导。</w:t>
      </w:r>
    </w:p>
    <w:p>
      <w:pPr>
        <w:spacing w:before="156" w:beforeLines="50" w:line="360" w:lineRule="auto"/>
        <w:jc w:val="left"/>
        <w:outlineLvl w:val="1"/>
        <w:rPr>
          <w:rFonts w:ascii="宋体" w:hAnsi="宋体" w:eastAsia="宋体"/>
          <w:b/>
          <w:sz w:val="28"/>
          <w:szCs w:val="28"/>
        </w:rPr>
      </w:pPr>
      <w:r>
        <w:rPr>
          <w:rFonts w:hint="eastAsia" w:ascii="宋体" w:hAnsi="宋体" w:eastAsia="宋体"/>
          <w:b/>
          <w:sz w:val="28"/>
          <w:szCs w:val="28"/>
        </w:rPr>
        <w:t>二、致辞</w:t>
      </w:r>
    </w:p>
    <w:p>
      <w:pPr>
        <w:spacing w:line="360" w:lineRule="auto"/>
        <w:ind w:firstLine="480" w:firstLineChars="200"/>
        <w:rPr>
          <w:rFonts w:ascii="宋体" w:hAnsi="宋体" w:eastAsia="宋体" w:cs="宋体"/>
          <w:kern w:val="0"/>
          <w:sz w:val="24"/>
          <w:szCs w:val="24"/>
          <w:lang w:val="zh-CN"/>
        </w:rPr>
      </w:pPr>
      <w:r>
        <w:rPr>
          <w:rFonts w:hint="eastAsia" w:ascii="宋体" w:hAnsi="宋体" w:eastAsia="宋体" w:cs="宋体"/>
          <w:kern w:val="0"/>
          <w:sz w:val="24"/>
          <w:szCs w:val="24"/>
          <w:lang w:val="zh-CN"/>
        </w:rPr>
        <w:t>当今时代，中国正在全面迈入追求美好生活的新阶段。社会与企业的联动更加紧密，成长与担当的共赢更加深入。企业唯有担当重任，解决社会问题，才会有向前发展的不竭动力；唯有顺应时代潮流，以社会大众的公益为方向，才会有不断成长的深厚根基。</w:t>
      </w:r>
    </w:p>
    <w:p>
      <w:pPr>
        <w:spacing w:line="360" w:lineRule="auto"/>
        <w:ind w:firstLine="480" w:firstLineChars="200"/>
        <w:rPr>
          <w:rFonts w:ascii="宋体" w:hAnsi="宋体" w:eastAsia="宋体" w:cs="宋体"/>
          <w:kern w:val="0"/>
          <w:sz w:val="24"/>
          <w:szCs w:val="24"/>
          <w:lang w:val="zh-CN"/>
        </w:rPr>
      </w:pPr>
      <w:r>
        <w:rPr>
          <w:rFonts w:hint="eastAsia" w:ascii="宋体" w:hAnsi="宋体" w:eastAsia="宋体" w:cs="宋体"/>
          <w:kern w:val="0"/>
          <w:sz w:val="24"/>
          <w:szCs w:val="24"/>
          <w:lang w:val="zh-CN"/>
        </w:rPr>
        <w:t>川禾机械经过多年的艰苦创业、开拓进取，取得了优越的成绩。在发展中，公司创建了独具特色的文化体系，明确了自身长远发展目标，并着力营造良好的经营环境，积极履行着社会责任。</w:t>
      </w:r>
    </w:p>
    <w:p>
      <w:pPr>
        <w:spacing w:line="360" w:lineRule="auto"/>
        <w:ind w:firstLine="480" w:firstLineChars="200"/>
        <w:rPr>
          <w:rFonts w:ascii="宋体" w:hAnsi="宋体" w:eastAsia="宋体" w:cs="宋体"/>
          <w:kern w:val="0"/>
          <w:sz w:val="24"/>
          <w:szCs w:val="24"/>
          <w:lang w:val="zh-CN"/>
        </w:rPr>
      </w:pPr>
      <w:r>
        <w:rPr>
          <w:rFonts w:hint="eastAsia" w:ascii="宋体" w:hAnsi="宋体" w:eastAsia="宋体" w:cs="宋体"/>
          <w:kern w:val="0"/>
          <w:sz w:val="24"/>
          <w:szCs w:val="24"/>
          <w:lang w:val="zh-CN"/>
        </w:rPr>
        <w:t>社会对于企业是一笔宝贵的财富。今后，公司将以国内优秀企业社会责任标准为基准，在公司治理、科技创新、生态环境、员工与社区等多方面进行持续努力和务实创新，获取社会各界的尊重与认可。在政府、市场和客户、员工以及公众的信任下，于荆棘遍布的市场中不断砥砺前行。</w:t>
      </w:r>
    </w:p>
    <w:p>
      <w:pPr>
        <w:pStyle w:val="2"/>
        <w:rPr>
          <w:rFonts w:hAnsi="宋体" w:eastAsia="宋体" w:cs="宋体"/>
          <w:kern w:val="0"/>
          <w:sz w:val="24"/>
          <w:szCs w:val="24"/>
          <w:lang w:val="zh-CN"/>
        </w:rPr>
      </w:pPr>
    </w:p>
    <w:p>
      <w:pPr>
        <w:pStyle w:val="2"/>
        <w:rPr>
          <w:rFonts w:hAnsi="宋体" w:eastAsia="宋体" w:cs="宋体"/>
          <w:kern w:val="0"/>
          <w:sz w:val="24"/>
          <w:szCs w:val="24"/>
          <w:lang w:val="zh-CN"/>
        </w:rPr>
      </w:pPr>
    </w:p>
    <w:p>
      <w:pPr>
        <w:spacing w:before="156" w:beforeLines="50" w:line="360" w:lineRule="auto"/>
        <w:jc w:val="left"/>
        <w:outlineLvl w:val="1"/>
        <w:rPr>
          <w:rFonts w:ascii="宋体" w:hAnsi="宋体" w:eastAsia="宋体"/>
          <w:b/>
          <w:sz w:val="28"/>
          <w:szCs w:val="28"/>
        </w:rPr>
      </w:pPr>
      <w:r>
        <w:rPr>
          <w:rFonts w:hint="eastAsia" w:ascii="宋体" w:hAnsi="宋体" w:eastAsia="宋体"/>
          <w:b/>
          <w:sz w:val="28"/>
          <w:szCs w:val="28"/>
        </w:rPr>
        <w:t>三、企业简介</w:t>
      </w:r>
    </w:p>
    <w:p>
      <w:pPr>
        <w:snapToGrid w:val="0"/>
        <w:spacing w:before="156" w:beforeLines="50" w:after="156" w:afterLines="50" w:line="360" w:lineRule="auto"/>
        <w:jc w:val="left"/>
        <w:outlineLvl w:val="0"/>
        <w:rPr>
          <w:rFonts w:ascii="宋体" w:hAnsi="宋体" w:eastAsia="宋体" w:cs="宋体"/>
          <w:kern w:val="0"/>
          <w:sz w:val="24"/>
          <w:szCs w:val="24"/>
          <w:lang w:val="zh-CN"/>
        </w:rPr>
      </w:pPr>
      <w:r>
        <w:rPr>
          <w:rFonts w:hint="eastAsia" w:ascii="宋体" w:hAnsi="宋体" w:eastAsia="宋体" w:cs="宋体"/>
          <w:kern w:val="0"/>
          <w:sz w:val="24"/>
          <w:szCs w:val="24"/>
          <w:lang w:val="zh-CN"/>
        </w:rPr>
        <w:t>杭州川禾机械有限公司，成立于2009年，位于萧山区红山农场萧清大道4518号5幢，是一家集研发、制造、销售高端数控机床、柔性生产加工线、数控精密磨床和装配线的企业，公司设有台湾和国内两个研发场所，通过不断引进国内外精益的技术以及与西交大、浙大等高校合作输送优质人才，为客户提供智能化制造及数字化工厂的解决方案。公司具有大量工程经验和与国内外高端数控机床同步的设计制造技术，并被评为国家高新技术企业、中小科技型企业、最具成长型企业。</w:t>
      </w:r>
    </w:p>
    <w:p>
      <w:pPr>
        <w:snapToGrid w:val="0"/>
        <w:spacing w:before="156" w:beforeLines="50" w:after="156" w:afterLines="50" w:line="360" w:lineRule="auto"/>
        <w:ind w:firstLine="480" w:firstLineChars="200"/>
        <w:jc w:val="left"/>
        <w:outlineLvl w:val="0"/>
        <w:rPr>
          <w:rFonts w:ascii="宋体" w:hAnsi="宋体" w:eastAsia="宋体" w:cs="宋体"/>
          <w:kern w:val="0"/>
          <w:sz w:val="24"/>
          <w:szCs w:val="24"/>
          <w:lang w:val="zh-CN"/>
        </w:rPr>
      </w:pPr>
      <w:r>
        <w:rPr>
          <w:rFonts w:hint="eastAsia" w:ascii="宋体" w:hAnsi="宋体" w:eastAsia="宋体" w:cs="宋体"/>
          <w:kern w:val="0"/>
          <w:sz w:val="24"/>
          <w:szCs w:val="24"/>
          <w:lang w:val="zh-CN"/>
        </w:rPr>
        <w:t>公司一直贯彻“品质、服务、创新”的经营理念，牢牢以“为客户提供有价值的产品”为导向，为客户提供售前、售中、售后的交钥匙工程。</w:t>
      </w:r>
    </w:p>
    <w:p>
      <w:pPr>
        <w:snapToGrid w:val="0"/>
        <w:spacing w:before="156" w:beforeLines="50" w:after="156" w:afterLines="50" w:line="360" w:lineRule="auto"/>
        <w:ind w:firstLine="480" w:firstLineChars="200"/>
        <w:jc w:val="left"/>
        <w:outlineLvl w:val="0"/>
        <w:rPr>
          <w:rFonts w:ascii="宋体" w:hAnsi="宋体" w:eastAsia="宋体" w:cs="宋体"/>
          <w:kern w:val="0"/>
          <w:sz w:val="24"/>
          <w:szCs w:val="24"/>
          <w:lang w:val="zh-CN"/>
        </w:rPr>
      </w:pPr>
      <w:r>
        <w:rPr>
          <w:rFonts w:hint="eastAsia" w:ascii="宋体" w:hAnsi="宋体" w:eastAsia="宋体" w:cs="宋体"/>
          <w:kern w:val="0"/>
          <w:sz w:val="24"/>
          <w:szCs w:val="24"/>
          <w:lang w:val="zh-CN"/>
        </w:rPr>
        <w:t>公司所有产品的研发、设计、制造、售后服务环节严格执行ISO9001:2015质量管理体系，制造过程的各个环节都有品管介入确保产品的稳定性。公司以整洁的工厂、专业的管理、严谨的态度、全面的服务，为员工提供了一个好的工作环境，为客户提供优良的产品。川禾人以饱满的精神来迎接每一个挑战。</w:t>
      </w:r>
    </w:p>
    <w:p>
      <w:pPr>
        <w:spacing w:before="312" w:beforeLines="100" w:after="312" w:afterLines="100" w:line="360" w:lineRule="auto"/>
        <w:jc w:val="center"/>
        <w:outlineLvl w:val="0"/>
        <w:rPr>
          <w:rFonts w:ascii="黑体" w:hAnsi="黑体" w:eastAsia="黑体"/>
          <w:sz w:val="32"/>
          <w:szCs w:val="32"/>
        </w:rPr>
      </w:pPr>
    </w:p>
    <w:p>
      <w:pPr>
        <w:spacing w:before="312" w:beforeLines="100" w:after="312" w:afterLines="100" w:line="360" w:lineRule="auto"/>
        <w:jc w:val="center"/>
        <w:outlineLvl w:val="0"/>
        <w:rPr>
          <w:rFonts w:ascii="黑体" w:hAnsi="黑体" w:eastAsia="黑体"/>
          <w:sz w:val="32"/>
          <w:szCs w:val="32"/>
        </w:rPr>
      </w:pPr>
    </w:p>
    <w:p>
      <w:pPr>
        <w:spacing w:before="312" w:beforeLines="100" w:after="312" w:afterLines="100" w:line="360" w:lineRule="auto"/>
        <w:jc w:val="center"/>
        <w:outlineLvl w:val="0"/>
        <w:rPr>
          <w:rFonts w:ascii="黑体" w:hAnsi="黑体" w:eastAsia="黑体"/>
          <w:sz w:val="32"/>
          <w:szCs w:val="32"/>
        </w:rPr>
      </w:pPr>
    </w:p>
    <w:p>
      <w:pPr>
        <w:spacing w:before="312" w:beforeLines="100" w:after="312" w:afterLines="100" w:line="360" w:lineRule="auto"/>
        <w:jc w:val="center"/>
        <w:outlineLvl w:val="0"/>
        <w:rPr>
          <w:rFonts w:ascii="黑体" w:hAnsi="黑体" w:eastAsia="黑体"/>
          <w:sz w:val="32"/>
          <w:szCs w:val="32"/>
        </w:rPr>
      </w:pPr>
    </w:p>
    <w:p>
      <w:pPr>
        <w:spacing w:before="312" w:beforeLines="100" w:after="312" w:afterLines="100" w:line="360" w:lineRule="auto"/>
        <w:jc w:val="center"/>
        <w:outlineLvl w:val="0"/>
        <w:rPr>
          <w:rFonts w:ascii="黑体" w:hAnsi="黑体" w:eastAsia="黑体"/>
          <w:sz w:val="32"/>
          <w:szCs w:val="32"/>
        </w:rPr>
      </w:pPr>
    </w:p>
    <w:p>
      <w:pPr>
        <w:spacing w:before="312" w:beforeLines="100" w:after="312" w:afterLines="100" w:line="360" w:lineRule="auto"/>
        <w:jc w:val="center"/>
        <w:outlineLvl w:val="0"/>
        <w:rPr>
          <w:rFonts w:ascii="黑体" w:hAnsi="黑体" w:eastAsia="黑体"/>
          <w:sz w:val="32"/>
          <w:szCs w:val="32"/>
        </w:rPr>
      </w:pPr>
    </w:p>
    <w:p>
      <w:pPr>
        <w:spacing w:before="312" w:beforeLines="100" w:after="312" w:afterLines="100" w:line="360" w:lineRule="auto"/>
        <w:jc w:val="center"/>
        <w:outlineLvl w:val="0"/>
        <w:rPr>
          <w:rFonts w:ascii="黑体" w:hAnsi="黑体" w:eastAsia="黑体"/>
          <w:sz w:val="32"/>
          <w:szCs w:val="32"/>
        </w:rPr>
      </w:pPr>
    </w:p>
    <w:p>
      <w:pPr>
        <w:spacing w:before="312" w:beforeLines="100" w:after="312" w:afterLines="100" w:line="360" w:lineRule="auto"/>
        <w:jc w:val="center"/>
        <w:outlineLvl w:val="0"/>
        <w:rPr>
          <w:rFonts w:ascii="黑体" w:hAnsi="黑体" w:eastAsia="黑体"/>
          <w:sz w:val="32"/>
          <w:szCs w:val="32"/>
        </w:rPr>
      </w:pPr>
    </w:p>
    <w:p>
      <w:pPr>
        <w:spacing w:before="312" w:beforeLines="100" w:after="312" w:afterLines="100" w:line="360" w:lineRule="auto"/>
        <w:jc w:val="center"/>
        <w:outlineLvl w:val="0"/>
        <w:rPr>
          <w:rFonts w:ascii="黑体" w:hAnsi="黑体" w:eastAsia="黑体"/>
          <w:sz w:val="32"/>
          <w:szCs w:val="32"/>
        </w:rPr>
      </w:pPr>
      <w:r>
        <w:rPr>
          <w:rFonts w:hint="eastAsia" w:ascii="黑体" w:hAnsi="黑体" w:eastAsia="黑体"/>
          <w:sz w:val="32"/>
          <w:szCs w:val="32"/>
        </w:rPr>
        <w:t>第二部分 报告正文</w:t>
      </w:r>
    </w:p>
    <w:p>
      <w:pPr>
        <w:spacing w:before="156" w:beforeLines="50" w:line="360" w:lineRule="auto"/>
        <w:jc w:val="left"/>
        <w:outlineLvl w:val="1"/>
        <w:rPr>
          <w:rFonts w:asciiTheme="majorEastAsia" w:hAnsiTheme="majorEastAsia" w:eastAsiaTheme="majorEastAsia"/>
          <w:b/>
          <w:sz w:val="28"/>
          <w:szCs w:val="21"/>
        </w:rPr>
      </w:pPr>
      <w:r>
        <w:rPr>
          <w:rFonts w:hint="eastAsia" w:ascii="宋体" w:hAnsi="宋体" w:eastAsia="宋体"/>
          <w:b/>
          <w:sz w:val="28"/>
          <w:szCs w:val="28"/>
        </w:rPr>
        <w:t>一、经营与发展综述</w:t>
      </w:r>
    </w:p>
    <w:p>
      <w:pPr>
        <w:pStyle w:val="7"/>
        <w:widowControl/>
        <w:spacing w:line="360" w:lineRule="auto"/>
        <w:ind w:firstLine="562" w:firstLineChars="200"/>
        <w:jc w:val="both"/>
        <w:outlineLvl w:val="2"/>
        <w:rPr>
          <w:rFonts w:ascii="宋体" w:hAnsi="宋体" w:eastAsia="宋体" w:cs="宋体"/>
          <w:b/>
          <w:bCs/>
          <w:sz w:val="28"/>
          <w:szCs w:val="28"/>
        </w:rPr>
      </w:pPr>
      <w:r>
        <w:rPr>
          <w:rFonts w:hint="eastAsia" w:ascii="宋体" w:hAnsi="宋体" w:eastAsia="宋体" w:cs="宋体"/>
          <w:b/>
          <w:bCs/>
          <w:sz w:val="28"/>
          <w:szCs w:val="28"/>
        </w:rPr>
        <w:t>（一）社会责任的文化理念</w:t>
      </w:r>
    </w:p>
    <w:p>
      <w:pPr>
        <w:snapToGrid w:val="0"/>
        <w:spacing w:before="156" w:beforeLines="50" w:line="360" w:lineRule="auto"/>
        <w:jc w:val="center"/>
        <w:rPr>
          <w:rFonts w:ascii="黑体" w:hAnsi="黑体" w:eastAsia="黑体"/>
          <w:bCs/>
          <w:szCs w:val="21"/>
        </w:rPr>
      </w:pPr>
      <w:r>
        <w:rPr>
          <w:rFonts w:hint="eastAsia" w:ascii="黑体" w:hAnsi="黑体" w:eastAsia="黑体"/>
          <w:bCs/>
          <w:szCs w:val="21"/>
        </w:rPr>
        <w:t>表1 企业文化体系</w:t>
      </w:r>
    </w:p>
    <w:tbl>
      <w:tblPr>
        <w:tblStyle w:val="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6"/>
        <w:gridCol w:w="7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blHeader/>
          <w:jc w:val="center"/>
        </w:trPr>
        <w:tc>
          <w:tcPr>
            <w:tcW w:w="819" w:type="pct"/>
            <w:shd w:val="clear" w:color="auto" w:fill="538135"/>
            <w:vAlign w:val="center"/>
          </w:tcPr>
          <w:p>
            <w:pPr>
              <w:widowControl/>
              <w:jc w:val="center"/>
              <w:rPr>
                <w:rFonts w:ascii="宋体" w:hAnsi="宋体"/>
                <w:b/>
                <w:bCs/>
                <w:color w:val="FFFFFF"/>
                <w:kern w:val="0"/>
                <w:szCs w:val="21"/>
              </w:rPr>
            </w:pPr>
            <w:r>
              <w:rPr>
                <w:rFonts w:hint="eastAsia" w:ascii="宋体" w:hAnsi="宋体"/>
                <w:b/>
                <w:bCs/>
                <w:color w:val="FFFFFF"/>
                <w:kern w:val="0"/>
                <w:szCs w:val="21"/>
              </w:rPr>
              <w:t>项目</w:t>
            </w:r>
          </w:p>
        </w:tc>
        <w:tc>
          <w:tcPr>
            <w:tcW w:w="4180" w:type="pct"/>
            <w:shd w:val="clear" w:color="auto" w:fill="538135"/>
            <w:vAlign w:val="center"/>
          </w:tcPr>
          <w:p>
            <w:pPr>
              <w:widowControl/>
              <w:jc w:val="center"/>
              <w:rPr>
                <w:rFonts w:ascii="宋体" w:hAnsi="宋体"/>
                <w:b/>
                <w:bCs/>
                <w:color w:val="FFFFFF"/>
                <w:kern w:val="0"/>
                <w:szCs w:val="21"/>
              </w:rPr>
            </w:pPr>
            <w:r>
              <w:rPr>
                <w:rFonts w:hint="eastAsia" w:ascii="宋体" w:hAnsi="宋体"/>
                <w:b/>
                <w:bCs/>
                <w:color w:val="FFFFFF"/>
                <w:kern w:val="0"/>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9" w:type="pct"/>
            <w:vAlign w:val="center"/>
          </w:tcPr>
          <w:p>
            <w:pPr>
              <w:widowControl/>
              <w:jc w:val="center"/>
              <w:rPr>
                <w:rFonts w:ascii="宋体" w:hAnsi="宋体"/>
                <w:b/>
                <w:kern w:val="0"/>
                <w:szCs w:val="21"/>
              </w:rPr>
            </w:pPr>
            <w:r>
              <w:rPr>
                <w:rFonts w:hint="eastAsia" w:ascii="宋体" w:hAnsi="宋体"/>
                <w:b/>
                <w:kern w:val="0"/>
                <w:szCs w:val="21"/>
              </w:rPr>
              <w:t>使  命</w:t>
            </w:r>
          </w:p>
        </w:tc>
        <w:tc>
          <w:tcPr>
            <w:tcW w:w="4180" w:type="pct"/>
            <w:vAlign w:val="center"/>
          </w:tcPr>
          <w:p>
            <w:pPr>
              <w:widowControl/>
              <w:rPr>
                <w:rFonts w:hint="default" w:ascii="宋体" w:hAnsi="宋体" w:eastAsiaTheme="minorEastAsia"/>
                <w:kern w:val="0"/>
                <w:szCs w:val="21"/>
                <w:lang w:val="en-US" w:eastAsia="zh-CN"/>
              </w:rPr>
            </w:pPr>
            <w:r>
              <w:rPr>
                <w:rFonts w:hint="eastAsia" w:ascii="宋体" w:hAnsi="宋体"/>
                <w:kern w:val="0"/>
                <w:szCs w:val="21"/>
                <w:lang w:val="en-US" w:eastAsia="zh-CN"/>
              </w:rPr>
              <w:t>数智装备，服务全球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9" w:type="pct"/>
            <w:vAlign w:val="center"/>
          </w:tcPr>
          <w:p>
            <w:pPr>
              <w:widowControl/>
              <w:jc w:val="center"/>
              <w:rPr>
                <w:rFonts w:ascii="宋体" w:hAnsi="宋体"/>
                <w:b/>
                <w:kern w:val="0"/>
                <w:szCs w:val="21"/>
              </w:rPr>
            </w:pPr>
            <w:r>
              <w:rPr>
                <w:rFonts w:hint="eastAsia" w:ascii="宋体" w:hAnsi="宋体"/>
                <w:b/>
                <w:kern w:val="0"/>
                <w:szCs w:val="21"/>
              </w:rPr>
              <w:t>愿  景</w:t>
            </w:r>
          </w:p>
        </w:tc>
        <w:tc>
          <w:tcPr>
            <w:tcW w:w="4180" w:type="pct"/>
            <w:vAlign w:val="center"/>
          </w:tcPr>
          <w:p>
            <w:pPr>
              <w:widowControl/>
              <w:jc w:val="left"/>
              <w:rPr>
                <w:rFonts w:hint="default" w:ascii="宋体" w:hAnsi="宋体" w:eastAsiaTheme="minorEastAsia"/>
                <w:kern w:val="0"/>
                <w:szCs w:val="21"/>
                <w:lang w:val="en-US" w:eastAsia="zh-CN"/>
              </w:rPr>
            </w:pPr>
            <w:r>
              <w:rPr>
                <w:rFonts w:hint="eastAsia" w:ascii="宋体" w:hAnsi="宋体"/>
                <w:kern w:val="0"/>
                <w:szCs w:val="21"/>
                <w:lang w:val="en-US" w:eastAsia="zh-CN"/>
              </w:rPr>
              <w:t>打造世界级智能机床品牌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9" w:type="pct"/>
            <w:vAlign w:val="center"/>
          </w:tcPr>
          <w:p>
            <w:pPr>
              <w:widowControl/>
              <w:jc w:val="center"/>
              <w:rPr>
                <w:rFonts w:ascii="宋体" w:hAnsi="宋体"/>
                <w:b/>
                <w:kern w:val="0"/>
                <w:szCs w:val="21"/>
              </w:rPr>
            </w:pPr>
            <w:r>
              <w:rPr>
                <w:rFonts w:hint="eastAsia" w:ascii="宋体" w:hAnsi="宋体"/>
                <w:b/>
                <w:kern w:val="0"/>
                <w:szCs w:val="21"/>
              </w:rPr>
              <w:t>价值观</w:t>
            </w:r>
          </w:p>
        </w:tc>
        <w:tc>
          <w:tcPr>
            <w:tcW w:w="4180" w:type="pct"/>
            <w:vAlign w:val="center"/>
          </w:tcPr>
          <w:p>
            <w:pPr>
              <w:widowControl/>
              <w:rPr>
                <w:rFonts w:hint="eastAsia" w:ascii="宋体" w:hAnsi="宋体"/>
                <w:kern w:val="0"/>
                <w:szCs w:val="21"/>
              </w:rPr>
            </w:pPr>
            <w:r>
              <w:rPr>
                <w:rFonts w:hint="eastAsia" w:ascii="宋体" w:hAnsi="宋体"/>
                <w:kern w:val="0"/>
                <w:szCs w:val="21"/>
                <w:lang w:val="en-US" w:eastAsia="zh-CN"/>
              </w:rPr>
              <w:t>品质为本，创新突破，客户至上，合作共赢</w:t>
            </w:r>
            <w:r>
              <w:rPr>
                <w:rFonts w:hint="eastAsia" w:ascii="宋体" w:hAnsi="宋体"/>
                <w:kern w:val="0"/>
                <w:szCs w:val="21"/>
              </w:rPr>
              <w:t>。</w:t>
            </w:r>
          </w:p>
        </w:tc>
      </w:tr>
    </w:tbl>
    <w:p>
      <w:pPr>
        <w:pStyle w:val="7"/>
        <w:widowControl/>
        <w:spacing w:before="156" w:beforeLines="50" w:line="360" w:lineRule="auto"/>
        <w:ind w:firstLine="562" w:firstLineChars="200"/>
        <w:jc w:val="both"/>
        <w:outlineLvl w:val="2"/>
        <w:rPr>
          <w:rFonts w:ascii="宋体" w:hAnsi="宋体" w:eastAsia="宋体" w:cs="宋体"/>
          <w:b/>
          <w:bCs/>
          <w:sz w:val="28"/>
          <w:szCs w:val="28"/>
        </w:rPr>
      </w:pPr>
      <w:r>
        <w:rPr>
          <w:rFonts w:hint="eastAsia" w:ascii="宋体" w:hAnsi="宋体" w:cs="宋体"/>
          <w:b/>
          <w:bCs/>
          <w:sz w:val="28"/>
          <w:szCs w:val="28"/>
        </w:rPr>
        <w:t>（二）</w:t>
      </w:r>
      <w:r>
        <w:rPr>
          <w:rFonts w:hint="eastAsia" w:ascii="宋体" w:hAnsi="宋体" w:eastAsia="宋体" w:cs="宋体"/>
          <w:b/>
          <w:bCs/>
          <w:sz w:val="28"/>
          <w:szCs w:val="28"/>
        </w:rPr>
        <w:t>社会责任的沟通</w:t>
      </w:r>
      <w:bookmarkStart w:id="2" w:name="_GoBack"/>
      <w:bookmarkEnd w:id="2"/>
    </w:p>
    <w:p>
      <w:pPr>
        <w:tabs>
          <w:tab w:val="left" w:pos="3450"/>
          <w:tab w:val="left" w:pos="4632"/>
          <w:tab w:val="left" w:pos="7215"/>
          <w:tab w:val="right" w:pos="8306"/>
        </w:tabs>
        <w:spacing w:line="360" w:lineRule="auto"/>
        <w:ind w:firstLine="480" w:firstLineChars="200"/>
        <w:rPr>
          <w:rFonts w:ascii="宋体" w:hAnsi="宋体"/>
          <w:sz w:val="24"/>
        </w:rPr>
      </w:pPr>
      <w:r>
        <w:rPr>
          <w:rFonts w:hint="eastAsia" w:ascii="宋体" w:hAnsi="宋体"/>
          <w:sz w:val="24"/>
        </w:rPr>
        <w:t>公司现行的社会责任体系建立在各利益相关方的权益保护基础之上，通过搭建多层次、顺畅的沟通渠道，与各利益相关方有效进行信息的双向沟通、传递与反馈，形成良性互动机制，不断完善社会责任工作。</w:t>
      </w:r>
    </w:p>
    <w:p>
      <w:pPr>
        <w:snapToGrid w:val="0"/>
        <w:spacing w:before="156" w:beforeLines="50" w:line="360" w:lineRule="auto"/>
        <w:jc w:val="center"/>
        <w:rPr>
          <w:rFonts w:ascii="黑体" w:hAnsi="黑体" w:eastAsia="黑体"/>
          <w:bCs/>
          <w:szCs w:val="21"/>
        </w:rPr>
      </w:pPr>
      <w:r>
        <w:rPr>
          <w:rFonts w:hint="eastAsia" w:ascii="黑体" w:hAnsi="黑体" w:eastAsia="黑体"/>
          <w:bCs/>
          <w:szCs w:val="21"/>
        </w:rPr>
        <w:t>表2 各利益相关方保障措施</w:t>
      </w:r>
    </w:p>
    <w:tbl>
      <w:tblPr>
        <w:tblStyle w:val="9"/>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1746"/>
        <w:gridCol w:w="6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01" w:type="pct"/>
            <w:shd w:val="clear" w:color="auto" w:fill="538135"/>
            <w:vAlign w:val="center"/>
          </w:tcPr>
          <w:p>
            <w:pPr>
              <w:widowControl/>
              <w:jc w:val="center"/>
              <w:rPr>
                <w:rFonts w:ascii="宋体" w:hAnsi="宋体" w:eastAsia="宋体" w:cs="宋体"/>
                <w:b/>
                <w:bCs/>
                <w:color w:val="FFFFFF" w:themeColor="background1"/>
                <w:kern w:val="0"/>
                <w:szCs w:val="21"/>
                <w14:textFill>
                  <w14:solidFill>
                    <w14:schemeClr w14:val="bg1"/>
                  </w14:solidFill>
                </w14:textFill>
              </w:rPr>
            </w:pPr>
            <w:r>
              <w:rPr>
                <w:rFonts w:hint="eastAsia" w:ascii="宋体" w:hAnsi="宋体" w:eastAsia="宋体" w:cs="宋体"/>
                <w:b/>
                <w:bCs/>
                <w:color w:val="FFFFFF" w:themeColor="background1"/>
                <w:kern w:val="0"/>
                <w:szCs w:val="21"/>
                <w14:textFill>
                  <w14:solidFill>
                    <w14:schemeClr w14:val="bg1"/>
                  </w14:solidFill>
                </w14:textFill>
              </w:rPr>
              <w:t>利益相关方</w:t>
            </w:r>
          </w:p>
        </w:tc>
        <w:tc>
          <w:tcPr>
            <w:tcW w:w="913" w:type="pct"/>
            <w:shd w:val="clear" w:color="auto" w:fill="538135"/>
            <w:vAlign w:val="center"/>
          </w:tcPr>
          <w:p>
            <w:pPr>
              <w:widowControl/>
              <w:jc w:val="center"/>
              <w:rPr>
                <w:rFonts w:ascii="宋体" w:hAnsi="宋体" w:eastAsia="宋体" w:cs="宋体"/>
                <w:b/>
                <w:bCs/>
                <w:color w:val="FFFFFF" w:themeColor="background1"/>
                <w:kern w:val="0"/>
                <w:szCs w:val="21"/>
                <w14:textFill>
                  <w14:solidFill>
                    <w14:schemeClr w14:val="bg1"/>
                  </w14:solidFill>
                </w14:textFill>
              </w:rPr>
            </w:pPr>
            <w:r>
              <w:rPr>
                <w:rFonts w:hint="eastAsia" w:ascii="宋体" w:hAnsi="宋体" w:eastAsia="宋体" w:cs="宋体"/>
                <w:b/>
                <w:bCs/>
                <w:color w:val="FFFFFF" w:themeColor="background1"/>
                <w:kern w:val="0"/>
                <w:szCs w:val="21"/>
                <w14:textFill>
                  <w14:solidFill>
                    <w14:schemeClr w14:val="bg1"/>
                  </w14:solidFill>
                </w14:textFill>
              </w:rPr>
              <w:t>关注点</w:t>
            </w:r>
          </w:p>
        </w:tc>
        <w:tc>
          <w:tcPr>
            <w:tcW w:w="3584" w:type="pct"/>
            <w:shd w:val="clear" w:color="auto" w:fill="538135"/>
            <w:vAlign w:val="center"/>
          </w:tcPr>
          <w:p>
            <w:pPr>
              <w:widowControl/>
              <w:jc w:val="center"/>
              <w:rPr>
                <w:rFonts w:ascii="宋体" w:hAnsi="宋体" w:eastAsia="宋体" w:cs="宋体"/>
                <w:b/>
                <w:bCs/>
                <w:color w:val="FFFFFF" w:themeColor="background1"/>
                <w:kern w:val="0"/>
                <w:szCs w:val="21"/>
                <w14:textFill>
                  <w14:solidFill>
                    <w14:schemeClr w14:val="bg1"/>
                  </w14:solidFill>
                </w14:textFill>
              </w:rPr>
            </w:pPr>
            <w:r>
              <w:rPr>
                <w:rFonts w:hint="eastAsia" w:ascii="宋体" w:hAnsi="宋体" w:eastAsia="宋体" w:cs="宋体"/>
                <w:b/>
                <w:bCs/>
                <w:color w:val="FFFFFF" w:themeColor="background1"/>
                <w:kern w:val="0"/>
                <w:szCs w:val="21"/>
                <w14:textFill>
                  <w14:solidFill>
                    <w14:schemeClr w14:val="bg1"/>
                  </w14:solidFill>
                </w14:textFill>
              </w:rPr>
              <w:t>权益保障措施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股东和债权人</w:t>
            </w:r>
          </w:p>
        </w:tc>
        <w:tc>
          <w:tcPr>
            <w:tcW w:w="913"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持续健康发展，管理层勤勉尽职，股东获得稳定投资回报</w:t>
            </w:r>
          </w:p>
        </w:tc>
        <w:tc>
          <w:tcPr>
            <w:tcW w:w="3584" w:type="pct"/>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1、规范经营，稳健发展；</w:t>
            </w:r>
          </w:p>
          <w:p>
            <w:pPr>
              <w:widowControl/>
              <w:rPr>
                <w:rFonts w:ascii="宋体" w:hAnsi="宋体" w:eastAsia="宋体" w:cs="宋体"/>
                <w:kern w:val="0"/>
                <w:szCs w:val="21"/>
              </w:rPr>
            </w:pPr>
            <w:r>
              <w:rPr>
                <w:rFonts w:hint="eastAsia" w:ascii="宋体" w:hAnsi="宋体" w:eastAsia="宋体" w:cs="宋体"/>
                <w:kern w:val="0"/>
                <w:szCs w:val="21"/>
              </w:rPr>
              <w:t>2、完善公司治理结构和内部控制体系，提高规范运营水平；</w:t>
            </w:r>
          </w:p>
          <w:p>
            <w:pPr>
              <w:widowControl/>
              <w:rPr>
                <w:rFonts w:ascii="宋体" w:hAnsi="宋体" w:eastAsia="宋体" w:cs="宋体"/>
                <w:kern w:val="0"/>
                <w:szCs w:val="21"/>
              </w:rPr>
            </w:pPr>
            <w:r>
              <w:rPr>
                <w:rFonts w:hint="eastAsia" w:ascii="宋体" w:hAnsi="宋体" w:eastAsia="宋体" w:cs="宋体"/>
                <w:kern w:val="0"/>
                <w:szCs w:val="21"/>
              </w:rPr>
              <w:t>3、制定并实施合理的利润分配政策；</w:t>
            </w:r>
          </w:p>
          <w:p>
            <w:pPr>
              <w:widowControl/>
              <w:rPr>
                <w:rFonts w:ascii="宋体" w:hAnsi="宋体" w:eastAsia="宋体" w:cs="宋体"/>
                <w:kern w:val="0"/>
                <w:szCs w:val="21"/>
              </w:rPr>
            </w:pPr>
            <w:r>
              <w:rPr>
                <w:rFonts w:hint="eastAsia" w:ascii="宋体" w:hAnsi="宋体" w:eastAsia="宋体" w:cs="宋体"/>
                <w:kern w:val="0"/>
                <w:szCs w:val="21"/>
              </w:rPr>
              <w:t>4、做好信息披露工作；</w:t>
            </w:r>
          </w:p>
          <w:p>
            <w:pPr>
              <w:widowControl/>
              <w:rPr>
                <w:rFonts w:ascii="宋体" w:hAnsi="宋体" w:eastAsia="宋体" w:cs="宋体"/>
                <w:kern w:val="0"/>
                <w:szCs w:val="21"/>
              </w:rPr>
            </w:pPr>
            <w:r>
              <w:rPr>
                <w:rFonts w:hint="eastAsia" w:ascii="宋体" w:hAnsi="宋体" w:eastAsia="宋体" w:cs="宋体"/>
                <w:kern w:val="0"/>
                <w:szCs w:val="21"/>
              </w:rPr>
              <w:t>5、做好投资者关系管理工作（网络互动、电话交流、实地调研接待、专题交流活动、参加策略会等）；</w:t>
            </w:r>
          </w:p>
          <w:p>
            <w:pPr>
              <w:widowControl/>
              <w:rPr>
                <w:rFonts w:ascii="宋体" w:hAnsi="宋体" w:eastAsia="宋体" w:cs="宋体"/>
                <w:kern w:val="0"/>
                <w:szCs w:val="21"/>
              </w:rPr>
            </w:pPr>
            <w:r>
              <w:rPr>
                <w:rFonts w:hint="eastAsia" w:ascii="宋体" w:hAnsi="宋体" w:eastAsia="宋体" w:cs="宋体"/>
                <w:kern w:val="0"/>
                <w:szCs w:val="21"/>
              </w:rPr>
              <w:t>6、做好企业的价值创造与市值管理等工作。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员工</w:t>
            </w:r>
          </w:p>
        </w:tc>
        <w:tc>
          <w:tcPr>
            <w:tcW w:w="913"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培养、晋升、激励，以及安全感和归属感的建立</w:t>
            </w:r>
          </w:p>
        </w:tc>
        <w:tc>
          <w:tcPr>
            <w:tcW w:w="3584" w:type="pct"/>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1、公司全面通过ISO14001环境管理和ISO45001职业健康安全管理体系认证，提供健康安全的工作环境；</w:t>
            </w:r>
          </w:p>
          <w:p>
            <w:pPr>
              <w:widowControl/>
              <w:rPr>
                <w:rFonts w:ascii="宋体" w:hAnsi="宋体" w:eastAsia="宋体" w:cs="宋体"/>
                <w:kern w:val="0"/>
                <w:szCs w:val="21"/>
              </w:rPr>
            </w:pPr>
            <w:r>
              <w:rPr>
                <w:rFonts w:hint="eastAsia" w:ascii="宋体" w:hAnsi="宋体" w:eastAsia="宋体" w:cs="宋体"/>
                <w:kern w:val="0"/>
                <w:szCs w:val="21"/>
              </w:rPr>
              <w:t>2、开展系统员工培训计划并实施，提供晋升渠道；</w:t>
            </w:r>
          </w:p>
          <w:p>
            <w:pPr>
              <w:widowControl/>
              <w:rPr>
                <w:rFonts w:ascii="宋体" w:hAnsi="宋体" w:eastAsia="宋体" w:cs="宋体"/>
                <w:kern w:val="0"/>
                <w:szCs w:val="21"/>
              </w:rPr>
            </w:pPr>
            <w:r>
              <w:rPr>
                <w:rFonts w:hint="eastAsia" w:ascii="宋体" w:hAnsi="宋体" w:eastAsia="宋体" w:cs="宋体"/>
                <w:kern w:val="0"/>
                <w:szCs w:val="21"/>
              </w:rPr>
              <w:t>3、召开各层级的骨干工作会议、各业务线工作会议、工会会议，保证员工参与管理的权利；</w:t>
            </w:r>
          </w:p>
          <w:p>
            <w:pPr>
              <w:widowControl/>
              <w:rPr>
                <w:rFonts w:ascii="宋体" w:hAnsi="宋体" w:eastAsia="宋体" w:cs="宋体"/>
                <w:kern w:val="0"/>
                <w:szCs w:val="21"/>
              </w:rPr>
            </w:pPr>
            <w:r>
              <w:rPr>
                <w:rFonts w:hint="eastAsia" w:ascii="宋体" w:hAnsi="宋体" w:eastAsia="宋体" w:cs="宋体"/>
                <w:kern w:val="0"/>
                <w:szCs w:val="21"/>
              </w:rPr>
              <w:t>4、加强川禾机械文化宣传，做好青工思想工作，为员工创造诚信守法、</w:t>
            </w:r>
            <w:r>
              <w:rPr>
                <w:rFonts w:hint="eastAsia" w:ascii="宋体" w:hAnsi="宋体" w:eastAsia="宋体" w:cs="宋体"/>
                <w:szCs w:val="21"/>
              </w:rPr>
              <w:t>团结拼搏、求实创新</w:t>
            </w:r>
            <w:r>
              <w:rPr>
                <w:rFonts w:hint="eastAsia" w:ascii="宋体" w:hAnsi="宋体" w:eastAsia="宋体" w:cs="宋体"/>
                <w:kern w:val="0"/>
                <w:szCs w:val="21"/>
              </w:rPr>
              <w:t>的文化环境；</w:t>
            </w:r>
          </w:p>
          <w:p>
            <w:pPr>
              <w:widowControl/>
              <w:rPr>
                <w:rFonts w:ascii="宋体" w:hAnsi="宋体" w:eastAsia="宋体" w:cs="宋体"/>
                <w:kern w:val="0"/>
                <w:szCs w:val="21"/>
              </w:rPr>
            </w:pPr>
            <w:r>
              <w:rPr>
                <w:rFonts w:hint="eastAsia" w:ascii="宋体" w:hAnsi="宋体" w:eastAsia="宋体" w:cs="宋体"/>
                <w:kern w:val="0"/>
                <w:szCs w:val="21"/>
              </w:rPr>
              <w:t>5、设总经理信箱，完善内部沟通平台和机制；</w:t>
            </w:r>
          </w:p>
          <w:p>
            <w:pPr>
              <w:widowControl/>
              <w:rPr>
                <w:rFonts w:ascii="宋体" w:hAnsi="宋体" w:eastAsia="宋体" w:cs="宋体"/>
                <w:kern w:val="0"/>
                <w:szCs w:val="21"/>
              </w:rPr>
            </w:pPr>
            <w:r>
              <w:rPr>
                <w:rFonts w:hint="eastAsia" w:ascii="宋体" w:hAnsi="宋体" w:eastAsia="宋体" w:cs="宋体"/>
                <w:kern w:val="0"/>
                <w:szCs w:val="21"/>
              </w:rPr>
              <w:t>6、开展社团活动，丰富业余生活，营造川禾机械大家庭氛围；</w:t>
            </w:r>
          </w:p>
          <w:p>
            <w:pPr>
              <w:widowControl/>
              <w:rPr>
                <w:rFonts w:ascii="宋体" w:hAnsi="宋体" w:eastAsia="宋体" w:cs="宋体"/>
                <w:kern w:val="0"/>
                <w:szCs w:val="21"/>
              </w:rPr>
            </w:pPr>
            <w:r>
              <w:rPr>
                <w:rFonts w:hint="eastAsia" w:ascii="宋体" w:hAnsi="宋体" w:eastAsia="宋体" w:cs="宋体"/>
                <w:kern w:val="0"/>
                <w:szCs w:val="21"/>
              </w:rPr>
              <w:t>7、定期开展员工满意度调查，不断改进并提升员工满意度。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1"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供应商</w:t>
            </w:r>
          </w:p>
        </w:tc>
        <w:tc>
          <w:tcPr>
            <w:tcW w:w="913"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合作与共赢</w:t>
            </w:r>
          </w:p>
        </w:tc>
        <w:tc>
          <w:tcPr>
            <w:tcW w:w="3584" w:type="pct"/>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1、建立互利共赢的长期战略合作关系；</w:t>
            </w:r>
          </w:p>
          <w:p>
            <w:pPr>
              <w:widowControl/>
              <w:rPr>
                <w:rFonts w:ascii="宋体" w:hAnsi="宋体" w:eastAsia="宋体" w:cs="宋体"/>
                <w:kern w:val="0"/>
                <w:szCs w:val="21"/>
              </w:rPr>
            </w:pPr>
            <w:r>
              <w:rPr>
                <w:rFonts w:hint="eastAsia" w:ascii="宋体" w:hAnsi="宋体" w:eastAsia="宋体" w:cs="宋体"/>
                <w:kern w:val="0"/>
                <w:szCs w:val="21"/>
              </w:rPr>
              <w:t>2、共同研发，在销售、质量、工艺、运输等方面建立紧密关系，分享信息与技术；</w:t>
            </w:r>
          </w:p>
          <w:p>
            <w:pPr>
              <w:widowControl/>
              <w:rPr>
                <w:rFonts w:ascii="宋体" w:hAnsi="宋体" w:eastAsia="宋体" w:cs="宋体"/>
                <w:kern w:val="0"/>
                <w:szCs w:val="21"/>
              </w:rPr>
            </w:pPr>
            <w:r>
              <w:rPr>
                <w:rFonts w:hint="eastAsia" w:ascii="宋体" w:hAnsi="宋体" w:eastAsia="宋体" w:cs="宋体"/>
                <w:kern w:val="0"/>
                <w:szCs w:val="21"/>
              </w:rPr>
              <w:t>3、带动供应商产品、工艺、技术或管理的进步。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客户及消费者</w:t>
            </w:r>
          </w:p>
        </w:tc>
        <w:tc>
          <w:tcPr>
            <w:tcW w:w="913"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产品与服务</w:t>
            </w:r>
          </w:p>
        </w:tc>
        <w:tc>
          <w:tcPr>
            <w:tcW w:w="3584" w:type="pct"/>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1、了解客户需求，确保有能力满足不同客户的要求；</w:t>
            </w:r>
          </w:p>
          <w:p>
            <w:pPr>
              <w:widowControl/>
              <w:rPr>
                <w:rFonts w:ascii="宋体" w:hAnsi="宋体" w:eastAsia="宋体" w:cs="宋体"/>
                <w:kern w:val="0"/>
                <w:szCs w:val="21"/>
              </w:rPr>
            </w:pPr>
            <w:r>
              <w:rPr>
                <w:rFonts w:hint="eastAsia" w:ascii="宋体" w:hAnsi="宋体" w:eastAsia="宋体" w:cs="宋体"/>
                <w:kern w:val="0"/>
                <w:szCs w:val="21"/>
              </w:rPr>
              <w:t>2、严格执行质量管理体系，提供高品质产品，保证环保、健康、安全；</w:t>
            </w:r>
          </w:p>
          <w:p>
            <w:pPr>
              <w:widowControl/>
              <w:rPr>
                <w:rFonts w:ascii="宋体" w:hAnsi="宋体" w:eastAsia="宋体" w:cs="宋体"/>
                <w:kern w:val="0"/>
                <w:szCs w:val="21"/>
              </w:rPr>
            </w:pPr>
            <w:r>
              <w:rPr>
                <w:rFonts w:hint="eastAsia" w:ascii="宋体" w:hAnsi="宋体" w:eastAsia="宋体" w:cs="宋体"/>
                <w:kern w:val="0"/>
                <w:szCs w:val="21"/>
              </w:rPr>
              <w:t>3、以“顾客为中心”，完善升级服务，减少客户后顾之忧；</w:t>
            </w:r>
          </w:p>
          <w:p>
            <w:pPr>
              <w:widowControl/>
              <w:rPr>
                <w:rFonts w:ascii="宋体" w:hAnsi="宋体" w:eastAsia="宋体" w:cs="宋体"/>
                <w:kern w:val="0"/>
                <w:szCs w:val="21"/>
              </w:rPr>
            </w:pPr>
            <w:r>
              <w:rPr>
                <w:rFonts w:hint="eastAsia" w:ascii="宋体" w:hAnsi="宋体" w:eastAsia="宋体" w:cs="宋体"/>
                <w:kern w:val="0"/>
                <w:szCs w:val="21"/>
              </w:rPr>
              <w:t>4、通过网站、电话、现场参观等多种渠道交流，方便客户查询信息，了解公司和产品，从而选择公司产品和服务。</w:t>
            </w:r>
          </w:p>
          <w:p>
            <w:pPr>
              <w:widowControl/>
              <w:rPr>
                <w:rFonts w:ascii="宋体" w:hAnsi="宋体" w:eastAsia="宋体" w:cs="宋体"/>
                <w:kern w:val="0"/>
                <w:szCs w:val="21"/>
              </w:rPr>
            </w:pPr>
            <w:r>
              <w:rPr>
                <w:rFonts w:hint="eastAsia" w:ascii="宋体" w:hAnsi="宋体" w:eastAsia="宋体" w:cs="宋体"/>
                <w:kern w:val="0"/>
                <w:szCs w:val="21"/>
              </w:rPr>
              <w:t>5、制定《客户投诉处理制度》《售后服务流程》等制度，确保客户投诉得到有效、快速解决，并将投诉信息用于改进。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政府和社区</w:t>
            </w:r>
          </w:p>
        </w:tc>
        <w:tc>
          <w:tcPr>
            <w:tcW w:w="913"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守法、纳税与就业，带动当地发展，共创和谐社会</w:t>
            </w:r>
          </w:p>
        </w:tc>
        <w:tc>
          <w:tcPr>
            <w:tcW w:w="3584" w:type="pct"/>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1、与政府、监管部门保持良好的沟通，贯彻法规政策，积极履行应尽义务；</w:t>
            </w:r>
          </w:p>
          <w:p>
            <w:pPr>
              <w:widowControl/>
              <w:rPr>
                <w:rFonts w:ascii="宋体" w:hAnsi="宋体" w:eastAsia="宋体" w:cs="宋体"/>
                <w:kern w:val="0"/>
                <w:szCs w:val="21"/>
              </w:rPr>
            </w:pPr>
            <w:r>
              <w:rPr>
                <w:rFonts w:hint="eastAsia" w:ascii="宋体" w:hAnsi="宋体" w:eastAsia="宋体" w:cs="宋体"/>
                <w:kern w:val="0"/>
                <w:szCs w:val="21"/>
              </w:rPr>
              <w:t>2、参与基础设施、新型城镇化和新农村建设；</w:t>
            </w:r>
          </w:p>
          <w:p>
            <w:pPr>
              <w:widowControl/>
              <w:rPr>
                <w:rFonts w:ascii="宋体" w:hAnsi="宋体" w:eastAsia="宋体" w:cs="宋体"/>
                <w:kern w:val="0"/>
                <w:szCs w:val="21"/>
              </w:rPr>
            </w:pPr>
            <w:r>
              <w:rPr>
                <w:rFonts w:hint="eastAsia" w:ascii="宋体" w:hAnsi="宋体" w:eastAsia="宋体" w:cs="宋体"/>
                <w:kern w:val="0"/>
                <w:szCs w:val="21"/>
              </w:rPr>
              <w:t>3、参与社会公益和慈善事业；</w:t>
            </w:r>
          </w:p>
          <w:p>
            <w:pPr>
              <w:widowControl/>
              <w:rPr>
                <w:rFonts w:ascii="宋体" w:hAnsi="宋体" w:eastAsia="宋体" w:cs="宋体"/>
                <w:kern w:val="0"/>
                <w:szCs w:val="21"/>
              </w:rPr>
            </w:pPr>
            <w:r>
              <w:rPr>
                <w:rFonts w:hint="eastAsia" w:ascii="宋体" w:hAnsi="宋体" w:eastAsia="宋体" w:cs="宋体"/>
                <w:kern w:val="0"/>
                <w:szCs w:val="21"/>
              </w:rPr>
              <w:t>4、积极支持并参与政府和社区的活动，保持良好沟通。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01"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金融机构</w:t>
            </w:r>
          </w:p>
        </w:tc>
        <w:tc>
          <w:tcPr>
            <w:tcW w:w="913"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保持合理的资金需求以及风险可控</w:t>
            </w:r>
          </w:p>
        </w:tc>
        <w:tc>
          <w:tcPr>
            <w:tcW w:w="3584" w:type="pct"/>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1、加强银企合作，促进合作共赢；</w:t>
            </w:r>
          </w:p>
          <w:p>
            <w:pPr>
              <w:widowControl/>
              <w:rPr>
                <w:rFonts w:ascii="宋体" w:hAnsi="宋体" w:eastAsia="宋体" w:cs="宋体"/>
                <w:kern w:val="0"/>
                <w:szCs w:val="21"/>
              </w:rPr>
            </w:pPr>
            <w:r>
              <w:rPr>
                <w:rFonts w:hint="eastAsia" w:ascii="宋体" w:hAnsi="宋体" w:eastAsia="宋体" w:cs="宋体"/>
                <w:kern w:val="0"/>
                <w:szCs w:val="21"/>
              </w:rPr>
              <w:t>2、加强内控管理，控制资金风险；</w:t>
            </w:r>
          </w:p>
          <w:p>
            <w:pPr>
              <w:widowControl/>
              <w:rPr>
                <w:rFonts w:ascii="宋体" w:hAnsi="宋体" w:eastAsia="宋体" w:cs="宋体"/>
                <w:kern w:val="0"/>
                <w:szCs w:val="21"/>
              </w:rPr>
            </w:pPr>
            <w:r>
              <w:rPr>
                <w:rFonts w:hint="eastAsia" w:ascii="宋体" w:hAnsi="宋体" w:eastAsia="宋体" w:cs="宋体"/>
                <w:kern w:val="0"/>
                <w:szCs w:val="21"/>
              </w:rPr>
              <w:t>3、及时披露信息，促进对公司的了解，提高认可度和支持度；</w:t>
            </w:r>
          </w:p>
          <w:p>
            <w:pPr>
              <w:widowControl/>
              <w:rPr>
                <w:rFonts w:ascii="宋体" w:hAnsi="宋体" w:eastAsia="宋体" w:cs="宋体"/>
                <w:kern w:val="0"/>
                <w:szCs w:val="21"/>
              </w:rPr>
            </w:pPr>
            <w:r>
              <w:rPr>
                <w:rFonts w:hint="eastAsia" w:ascii="宋体" w:hAnsi="宋体" w:eastAsia="宋体" w:cs="宋体"/>
                <w:kern w:val="0"/>
                <w:szCs w:val="21"/>
              </w:rPr>
              <w:t>4、综合运用多种金融工具，拓宽融资渠道，提高资金使用效率。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1"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环境</w:t>
            </w:r>
          </w:p>
        </w:tc>
        <w:tc>
          <w:tcPr>
            <w:tcW w:w="913" w:type="pct"/>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关爱自然，推动环境保护和治理工作</w:t>
            </w:r>
          </w:p>
        </w:tc>
        <w:tc>
          <w:tcPr>
            <w:tcW w:w="3584" w:type="pct"/>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1、加大环保宣传力度，增强全员的环保意识；</w:t>
            </w:r>
          </w:p>
          <w:p>
            <w:pPr>
              <w:widowControl/>
              <w:rPr>
                <w:rFonts w:ascii="宋体" w:hAnsi="宋体" w:eastAsia="宋体" w:cs="宋体"/>
                <w:kern w:val="0"/>
                <w:szCs w:val="21"/>
              </w:rPr>
            </w:pPr>
            <w:r>
              <w:rPr>
                <w:rFonts w:hint="eastAsia" w:ascii="宋体" w:hAnsi="宋体" w:eastAsia="宋体" w:cs="宋体"/>
                <w:kern w:val="0"/>
                <w:szCs w:val="21"/>
              </w:rPr>
              <w:t>2、积极参与环境治理，加大绿色环保产品的研发和推广力度；</w:t>
            </w:r>
          </w:p>
          <w:p>
            <w:pPr>
              <w:widowControl/>
              <w:rPr>
                <w:rFonts w:ascii="宋体" w:hAnsi="宋体" w:eastAsia="宋体" w:cs="宋体"/>
                <w:kern w:val="0"/>
                <w:szCs w:val="21"/>
              </w:rPr>
            </w:pPr>
            <w:r>
              <w:rPr>
                <w:rFonts w:hint="eastAsia" w:ascii="宋体" w:hAnsi="宋体" w:eastAsia="宋体" w:cs="宋体"/>
                <w:kern w:val="0"/>
                <w:szCs w:val="21"/>
              </w:rPr>
              <w:t>3、识别环境因素，防备可能发生紧急情况，做好应急预案演练；</w:t>
            </w:r>
          </w:p>
          <w:p>
            <w:pPr>
              <w:widowControl/>
              <w:rPr>
                <w:rFonts w:ascii="宋体" w:hAnsi="宋体" w:eastAsia="宋体" w:cs="宋体"/>
                <w:kern w:val="0"/>
                <w:szCs w:val="21"/>
              </w:rPr>
            </w:pPr>
            <w:r>
              <w:rPr>
                <w:rFonts w:hint="eastAsia" w:ascii="宋体" w:hAnsi="宋体" w:eastAsia="宋体" w:cs="宋体"/>
                <w:kern w:val="0"/>
                <w:szCs w:val="21"/>
              </w:rPr>
              <w:t>4、做好清洁生产、节能减排工作，保护生态；</w:t>
            </w:r>
          </w:p>
          <w:p>
            <w:pPr>
              <w:widowControl/>
              <w:rPr>
                <w:rFonts w:ascii="宋体" w:hAnsi="宋体" w:eastAsia="宋体" w:cs="宋体"/>
                <w:kern w:val="0"/>
                <w:szCs w:val="21"/>
              </w:rPr>
            </w:pPr>
            <w:r>
              <w:rPr>
                <w:rFonts w:hint="eastAsia" w:ascii="宋体" w:hAnsi="宋体" w:eastAsia="宋体" w:cs="宋体"/>
                <w:kern w:val="0"/>
                <w:szCs w:val="21"/>
              </w:rPr>
              <w:t>5、倡导绿色办公、低碳生活。</w:t>
            </w:r>
          </w:p>
        </w:tc>
      </w:tr>
    </w:tbl>
    <w:p>
      <w:pPr>
        <w:pStyle w:val="7"/>
        <w:widowControl/>
        <w:spacing w:before="156" w:beforeLines="50" w:line="360" w:lineRule="auto"/>
        <w:ind w:firstLine="562" w:firstLineChars="200"/>
        <w:jc w:val="both"/>
        <w:outlineLvl w:val="2"/>
        <w:rPr>
          <w:rFonts w:ascii="宋体" w:hAnsi="宋体" w:eastAsia="宋体" w:cs="宋体"/>
          <w:b/>
          <w:bCs/>
          <w:sz w:val="28"/>
          <w:szCs w:val="28"/>
        </w:rPr>
      </w:pPr>
      <w:r>
        <w:rPr>
          <w:rFonts w:hint="eastAsia" w:ascii="宋体" w:hAnsi="宋体" w:cs="宋体"/>
          <w:b/>
          <w:bCs/>
          <w:sz w:val="28"/>
          <w:szCs w:val="28"/>
        </w:rPr>
        <w:t>（三）</w:t>
      </w:r>
      <w:r>
        <w:rPr>
          <w:rFonts w:hint="eastAsia" w:ascii="宋体" w:hAnsi="宋体" w:eastAsia="宋体" w:cs="宋体"/>
          <w:b/>
          <w:bCs/>
          <w:sz w:val="28"/>
          <w:szCs w:val="28"/>
        </w:rPr>
        <w:t>社会责任成果</w:t>
      </w:r>
    </w:p>
    <w:p>
      <w:pPr>
        <w:tabs>
          <w:tab w:val="left" w:pos="3450"/>
          <w:tab w:val="left" w:pos="4632"/>
          <w:tab w:val="left" w:pos="7215"/>
          <w:tab w:val="right" w:pos="8306"/>
        </w:tabs>
        <w:spacing w:line="360" w:lineRule="auto"/>
        <w:ind w:firstLine="480" w:firstLineChars="200"/>
        <w:rPr>
          <w:rFonts w:ascii="宋体" w:hAnsi="宋体"/>
          <w:sz w:val="24"/>
        </w:rPr>
      </w:pPr>
      <w:r>
        <w:rPr>
          <w:rFonts w:hint="eastAsia" w:ascii="宋体" w:hAnsi="宋体"/>
          <w:sz w:val="24"/>
        </w:rPr>
        <w:t>公司一直规范运作、诚信经营，认真履行企业公民应承担的各项社会责任，受到了各方的认可和肯定。</w:t>
      </w:r>
    </w:p>
    <w:p>
      <w:pPr>
        <w:snapToGrid w:val="0"/>
        <w:spacing w:before="156" w:beforeLines="50" w:line="360" w:lineRule="auto"/>
        <w:jc w:val="left"/>
        <w:outlineLvl w:val="1"/>
        <w:rPr>
          <w:rFonts w:ascii="宋体" w:hAnsi="宋体" w:eastAsia="宋体"/>
          <w:b/>
          <w:sz w:val="28"/>
          <w:szCs w:val="28"/>
        </w:rPr>
      </w:pPr>
      <w:r>
        <w:rPr>
          <w:rFonts w:hint="eastAsia" w:ascii="宋体" w:hAnsi="宋体" w:eastAsia="宋体"/>
          <w:b/>
          <w:sz w:val="28"/>
          <w:szCs w:val="28"/>
        </w:rPr>
        <w:t>二、社会责任实践</w:t>
      </w:r>
    </w:p>
    <w:p>
      <w:pPr>
        <w:spacing w:line="360" w:lineRule="auto"/>
        <w:ind w:firstLine="562" w:firstLineChars="200"/>
        <w:outlineLvl w:val="2"/>
        <w:rPr>
          <w:rFonts w:ascii="宋体" w:hAnsi="宋体" w:eastAsia="宋体" w:cs="宋体"/>
          <w:b/>
          <w:kern w:val="0"/>
          <w:sz w:val="28"/>
          <w:szCs w:val="28"/>
          <w:lang w:val="zh-CN"/>
        </w:rPr>
      </w:pPr>
      <w:r>
        <w:rPr>
          <w:rFonts w:hint="eastAsia" w:ascii="宋体" w:hAnsi="宋体" w:eastAsia="宋体" w:cs="宋体"/>
          <w:b/>
          <w:kern w:val="0"/>
          <w:sz w:val="28"/>
          <w:szCs w:val="28"/>
          <w:lang w:val="zh-CN"/>
        </w:rPr>
        <w:t>（一）公司治理制度</w:t>
      </w:r>
    </w:p>
    <w:p>
      <w:pPr>
        <w:pStyle w:val="12"/>
        <w:spacing w:line="360" w:lineRule="auto"/>
        <w:ind w:firstLine="480"/>
        <w:rPr>
          <w:rFonts w:ascii="宋体" w:hAnsi="宋体" w:eastAsia="宋体"/>
          <w:sz w:val="24"/>
          <w:szCs w:val="24"/>
        </w:rPr>
      </w:pPr>
      <w:r>
        <w:rPr>
          <w:rFonts w:hint="eastAsia" w:ascii="宋体" w:hAnsi="宋体" w:eastAsia="宋体"/>
          <w:sz w:val="24"/>
          <w:szCs w:val="24"/>
        </w:rPr>
        <w:t>公司把公司治理与生产经营工作有机结合起来。严格按照《公司法》和国家相关法律、法规、规章的要求，建立现代企业制度，完善法人治理结构，规范公司运作。</w:t>
      </w:r>
    </w:p>
    <w:p>
      <w:pPr>
        <w:pStyle w:val="12"/>
        <w:spacing w:line="360" w:lineRule="auto"/>
        <w:ind w:firstLine="480"/>
        <w:rPr>
          <w:rFonts w:ascii="宋体" w:hAnsi="宋体" w:eastAsia="宋体"/>
          <w:sz w:val="24"/>
          <w:szCs w:val="24"/>
        </w:rPr>
      </w:pPr>
      <w:r>
        <w:rPr>
          <w:rFonts w:hint="eastAsia" w:ascii="宋体" w:hAnsi="宋体" w:eastAsia="宋体"/>
          <w:sz w:val="24"/>
          <w:szCs w:val="24"/>
        </w:rPr>
        <w:t>总经理负责本公司的日常经营，根据公司行业、规模等实际特点，按传统职能设立组织结构，建立了扁平化的组织结构管理模式，确保了公司生产经营等各项业务活动的健康运行，实现了公司的可持续健康发展。</w:t>
      </w:r>
    </w:p>
    <w:p>
      <w:pPr>
        <w:pStyle w:val="2"/>
        <w:jc w:val="center"/>
      </w:pPr>
      <w:r>
        <w:drawing>
          <wp:inline distT="0" distB="0" distL="114300" distR="114300">
            <wp:extent cx="5937250" cy="2387600"/>
            <wp:effectExtent l="0" t="0" r="635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937250" cy="2387600"/>
                    </a:xfrm>
                    <a:prstGeom prst="rect">
                      <a:avLst/>
                    </a:prstGeom>
                    <a:noFill/>
                    <a:ln>
                      <a:noFill/>
                    </a:ln>
                  </pic:spPr>
                </pic:pic>
              </a:graphicData>
            </a:graphic>
          </wp:inline>
        </w:drawing>
      </w:r>
    </w:p>
    <w:p>
      <w:pPr>
        <w:spacing w:before="156" w:beforeLines="50" w:after="156" w:afterLines="50"/>
        <w:jc w:val="center"/>
        <w:rPr>
          <w:rFonts w:ascii="黑体" w:hAnsi="黑体" w:eastAsia="黑体"/>
          <w:szCs w:val="21"/>
        </w:rPr>
      </w:pPr>
      <w:r>
        <w:rPr>
          <w:rFonts w:hint="eastAsia" w:ascii="黑体" w:hAnsi="黑体" w:eastAsia="黑体"/>
          <w:szCs w:val="21"/>
        </w:rPr>
        <w:t>图1</w:t>
      </w:r>
      <w:r>
        <w:rPr>
          <w:rFonts w:ascii="黑体" w:hAnsi="黑体" w:eastAsia="黑体"/>
          <w:szCs w:val="21"/>
        </w:rPr>
        <w:t xml:space="preserve"> </w:t>
      </w:r>
      <w:r>
        <w:rPr>
          <w:rFonts w:hint="eastAsia" w:ascii="黑体" w:hAnsi="黑体" w:eastAsia="黑体"/>
          <w:szCs w:val="21"/>
        </w:rPr>
        <w:t>公司组织机构图</w:t>
      </w:r>
    </w:p>
    <w:p>
      <w:pPr>
        <w:pStyle w:val="12"/>
        <w:spacing w:line="360" w:lineRule="auto"/>
        <w:ind w:firstLine="480"/>
        <w:rPr>
          <w:rFonts w:ascii="宋体" w:hAnsi="宋体" w:eastAsia="宋体"/>
          <w:sz w:val="24"/>
          <w:szCs w:val="24"/>
        </w:rPr>
      </w:pPr>
      <w:r>
        <w:rPr>
          <w:rFonts w:hint="eastAsia" w:ascii="宋体" w:hAnsi="宋体" w:eastAsia="宋体"/>
          <w:sz w:val="24"/>
          <w:szCs w:val="24"/>
        </w:rPr>
        <w:t>根据公司发展需要，制定各个部门的部门职责，及其岗位职责与权限。形成《各部门管理职责》及《岗位说明书》。</w:t>
      </w:r>
    </w:p>
    <w:p>
      <w:pPr>
        <w:pStyle w:val="12"/>
        <w:spacing w:line="360" w:lineRule="auto"/>
        <w:ind w:firstLine="480"/>
        <w:rPr>
          <w:rFonts w:ascii="宋体" w:hAnsi="宋体" w:eastAsia="宋体"/>
          <w:sz w:val="24"/>
          <w:szCs w:val="24"/>
        </w:rPr>
      </w:pPr>
      <w:r>
        <w:rPr>
          <w:rFonts w:hint="eastAsia" w:ascii="宋体" w:hAnsi="宋体" w:eastAsia="宋体"/>
          <w:sz w:val="24"/>
          <w:szCs w:val="24"/>
        </w:rPr>
        <w:t>为了更好的听取和采取员工、客户的各种意见和建议，有利于在不同的部门、职位和地区之间实现有效的沟通和技能的共享。公司针对性的设计了工作系统，并对各类别的信息沟通反馈设计了针对性的部门，明确其职责。</w:t>
      </w:r>
    </w:p>
    <w:p>
      <w:pPr>
        <w:pStyle w:val="12"/>
        <w:spacing w:line="360" w:lineRule="auto"/>
        <w:ind w:firstLine="480"/>
        <w:rPr>
          <w:rFonts w:ascii="宋体" w:hAnsi="宋体" w:eastAsia="宋体"/>
          <w:sz w:val="28"/>
          <w:szCs w:val="28"/>
          <w:shd w:val="clear" w:color="auto" w:fill="F0F2F4"/>
        </w:rPr>
      </w:pPr>
      <w:r>
        <w:rPr>
          <w:rFonts w:hint="eastAsia" w:ascii="宋体" w:hAnsi="宋体" w:eastAsia="宋体"/>
          <w:sz w:val="24"/>
          <w:szCs w:val="24"/>
        </w:rPr>
        <w:t>公司各级部门按照明确的岗位职责和权限，共同确保公司产品和服务的质量。</w:t>
      </w:r>
    </w:p>
    <w:p>
      <w:pPr>
        <w:spacing w:line="360" w:lineRule="auto"/>
        <w:ind w:firstLine="562" w:firstLineChars="200"/>
        <w:outlineLvl w:val="2"/>
        <w:rPr>
          <w:rFonts w:ascii="宋体" w:hAnsi="宋体" w:eastAsia="宋体" w:cs="宋体"/>
          <w:b/>
          <w:kern w:val="0"/>
          <w:sz w:val="28"/>
          <w:szCs w:val="28"/>
          <w:lang w:val="zh-CN"/>
        </w:rPr>
      </w:pPr>
      <w:r>
        <w:rPr>
          <w:rFonts w:hint="eastAsia" w:ascii="宋体" w:hAnsi="宋体" w:eastAsia="宋体" w:cs="宋体"/>
          <w:b/>
          <w:kern w:val="0"/>
          <w:sz w:val="28"/>
          <w:szCs w:val="28"/>
          <w:lang w:val="zh-CN"/>
        </w:rPr>
        <w:t>（二）股东</w:t>
      </w:r>
      <w:r>
        <w:rPr>
          <w:rFonts w:hint="eastAsia" w:ascii="宋体" w:hAnsi="宋体" w:eastAsia="宋体" w:cs="宋体"/>
          <w:b/>
          <w:kern w:val="0"/>
          <w:sz w:val="28"/>
          <w:szCs w:val="28"/>
        </w:rPr>
        <w:t>和债权人</w:t>
      </w:r>
      <w:r>
        <w:rPr>
          <w:rFonts w:hint="eastAsia" w:ascii="宋体" w:hAnsi="宋体" w:eastAsia="宋体" w:cs="宋体"/>
          <w:b/>
          <w:kern w:val="0"/>
          <w:sz w:val="28"/>
          <w:szCs w:val="28"/>
          <w:lang w:val="zh-CN"/>
        </w:rPr>
        <w:t>权益保护</w:t>
      </w:r>
    </w:p>
    <w:p>
      <w:pPr>
        <w:pStyle w:val="12"/>
        <w:spacing w:line="360" w:lineRule="auto"/>
        <w:ind w:firstLine="480"/>
        <w:rPr>
          <w:rFonts w:ascii="宋体" w:hAnsi="宋体" w:eastAsia="宋体"/>
          <w:sz w:val="24"/>
          <w:szCs w:val="24"/>
        </w:rPr>
      </w:pPr>
      <w:r>
        <w:rPr>
          <w:rFonts w:hint="eastAsia" w:ascii="宋体" w:hAnsi="宋体" w:eastAsia="宋体"/>
          <w:sz w:val="24"/>
          <w:szCs w:val="24"/>
        </w:rPr>
        <w:t>公司奉行稳健、持续的经营理念，严格控制经营风险，保护债权人的长远利益。</w:t>
      </w:r>
    </w:p>
    <w:p>
      <w:pPr>
        <w:pStyle w:val="12"/>
        <w:spacing w:line="360" w:lineRule="auto"/>
        <w:ind w:firstLine="480"/>
        <w:rPr>
          <w:rFonts w:ascii="宋体" w:hAnsi="宋体" w:eastAsia="宋体"/>
          <w:sz w:val="24"/>
          <w:szCs w:val="24"/>
        </w:rPr>
      </w:pPr>
      <w:r>
        <w:rPr>
          <w:rFonts w:hint="eastAsia" w:ascii="宋体" w:hAnsi="宋体" w:eastAsia="宋体"/>
          <w:sz w:val="24"/>
          <w:szCs w:val="24"/>
        </w:rPr>
        <w:t>公司在经营决策过程中，充分考虑债权人的合法权益，及时向债权人通报与其债权权益相关的重大信息，并按时归还借款及上缴税收，保证相关方良好的合作关系，使公司能够顺利筹措资金，为公司长远发展奠定了良好的基础。</w:t>
      </w:r>
      <w:r>
        <w:rPr>
          <w:rFonts w:ascii="宋体" w:hAnsi="宋体" w:eastAsia="宋体"/>
          <w:sz w:val="24"/>
          <w:szCs w:val="24"/>
        </w:rPr>
        <w:t>20</w:t>
      </w:r>
      <w:r>
        <w:rPr>
          <w:rFonts w:hint="eastAsia" w:ascii="宋体" w:hAnsi="宋体" w:eastAsia="宋体"/>
          <w:sz w:val="24"/>
          <w:szCs w:val="24"/>
        </w:rPr>
        <w:t>22年，公司财务状况良好，确保公司债务清偿能力。</w:t>
      </w:r>
    </w:p>
    <w:p>
      <w:pPr>
        <w:spacing w:line="360" w:lineRule="auto"/>
        <w:ind w:firstLine="562" w:firstLineChars="200"/>
        <w:outlineLvl w:val="2"/>
        <w:rPr>
          <w:rFonts w:ascii="宋体" w:hAnsi="宋体" w:eastAsia="宋体" w:cs="宋体"/>
          <w:b/>
          <w:kern w:val="0"/>
          <w:sz w:val="28"/>
          <w:szCs w:val="28"/>
          <w:lang w:val="zh-CN"/>
        </w:rPr>
      </w:pPr>
      <w:r>
        <w:rPr>
          <w:rFonts w:hint="eastAsia" w:ascii="宋体" w:hAnsi="宋体" w:eastAsia="宋体" w:cs="宋体"/>
          <w:b/>
          <w:kern w:val="0"/>
          <w:sz w:val="28"/>
          <w:szCs w:val="28"/>
          <w:lang w:val="zh-CN"/>
        </w:rPr>
        <w:t>（三）职工权益保护</w:t>
      </w:r>
    </w:p>
    <w:p>
      <w:pPr>
        <w:pStyle w:val="12"/>
        <w:spacing w:line="360" w:lineRule="auto"/>
        <w:ind w:firstLine="480"/>
        <w:rPr>
          <w:rFonts w:ascii="宋体" w:hAnsi="宋体" w:eastAsia="宋体"/>
          <w:sz w:val="24"/>
          <w:szCs w:val="24"/>
        </w:rPr>
      </w:pPr>
      <w:r>
        <w:rPr>
          <w:rFonts w:hint="eastAsia" w:ascii="宋体" w:hAnsi="宋体" w:eastAsia="宋体"/>
          <w:sz w:val="24"/>
          <w:szCs w:val="24"/>
        </w:rPr>
        <w:t>川禾机械在谋求自身发展额同时，时刻不忘为公司做出贡献的员工，公司领导心系员工需求，切实把企业对员工的关心、关怀传递给每一个员工，让全体员工共享企业发展的成果。公司注重保护员工权益，维护员工合法权益，妥善处理内部员工各类投诉事项。</w:t>
      </w:r>
    </w:p>
    <w:p>
      <w:pPr>
        <w:pStyle w:val="12"/>
        <w:spacing w:line="360" w:lineRule="auto"/>
        <w:ind w:firstLine="562"/>
        <w:rPr>
          <w:rFonts w:ascii="宋体" w:hAnsi="宋体" w:eastAsia="宋体"/>
          <w:b/>
          <w:sz w:val="28"/>
          <w:szCs w:val="28"/>
        </w:rPr>
      </w:pPr>
      <w:r>
        <w:rPr>
          <w:rFonts w:hint="eastAsia" w:ascii="宋体" w:hAnsi="宋体" w:eastAsia="宋体"/>
          <w:b/>
          <w:sz w:val="28"/>
          <w:szCs w:val="28"/>
        </w:rPr>
        <w:t>1、营造以人为本，营造健康、安全、舒适的良好工作环境</w:t>
      </w:r>
    </w:p>
    <w:p>
      <w:pPr>
        <w:pStyle w:val="12"/>
        <w:spacing w:line="360" w:lineRule="auto"/>
        <w:ind w:firstLine="480"/>
        <w:rPr>
          <w:rFonts w:ascii="宋体" w:hAnsi="宋体" w:eastAsia="宋体"/>
          <w:sz w:val="24"/>
          <w:szCs w:val="24"/>
        </w:rPr>
      </w:pPr>
      <w:r>
        <w:rPr>
          <w:rFonts w:hint="eastAsia" w:ascii="宋体" w:hAnsi="宋体" w:eastAsia="宋体"/>
          <w:sz w:val="24"/>
          <w:szCs w:val="24"/>
        </w:rPr>
        <w:t>作为生产制造型企业，保护员工的工作安全是最基本的责任。公司执行ISO14001环境管理体系、ISO45001职业健康安全管理体系标准，通过加强对员工的安全生产教育宣传，使员工建立安全生产概念，并通过入职培训、岗位培训、转岗培训等专题培训使员工充分了解如何做到安全生产保持健康工作环境。</w:t>
      </w:r>
    </w:p>
    <w:p>
      <w:pPr>
        <w:pStyle w:val="12"/>
        <w:spacing w:line="360" w:lineRule="auto"/>
        <w:ind w:firstLine="480"/>
        <w:rPr>
          <w:rFonts w:ascii="宋体" w:hAnsi="宋体" w:eastAsia="宋体"/>
          <w:sz w:val="24"/>
          <w:szCs w:val="24"/>
        </w:rPr>
      </w:pPr>
      <w:r>
        <w:rPr>
          <w:rFonts w:hint="eastAsia" w:ascii="宋体" w:hAnsi="宋体" w:eastAsia="宋体"/>
          <w:sz w:val="24"/>
          <w:szCs w:val="24"/>
        </w:rPr>
        <w:t>在产品生产过程中，公司对操作人员的人身安全、身体健康采取合理的保护和防护措施。公司制定了各工序的安全操作规程，并在机械设备的电机及电器配套装置上加装安全保护、防护设计等技控装置保障员工生产安全。为给员工提供舒适的工作环境，公司为各办公室安装配置了电脑和空调，车间安装了排风系统，设置了充足的消防设施和安全出口，配置了供水系统等。</w:t>
      </w:r>
    </w:p>
    <w:p>
      <w:pPr>
        <w:pStyle w:val="12"/>
        <w:spacing w:line="360" w:lineRule="auto"/>
        <w:ind w:firstLine="480"/>
        <w:rPr>
          <w:rFonts w:ascii="宋体" w:hAnsi="宋体" w:eastAsia="宋体"/>
          <w:sz w:val="24"/>
          <w:szCs w:val="24"/>
        </w:rPr>
      </w:pPr>
      <w:r>
        <w:rPr>
          <w:rFonts w:ascii="宋体" w:hAnsi="宋体" w:eastAsia="宋体"/>
          <w:sz w:val="24"/>
          <w:szCs w:val="24"/>
        </w:rPr>
        <w:t>20</w:t>
      </w:r>
      <w:r>
        <w:rPr>
          <w:rFonts w:hint="eastAsia" w:ascii="宋体" w:hAnsi="宋体" w:eastAsia="宋体"/>
          <w:sz w:val="24"/>
          <w:szCs w:val="24"/>
        </w:rPr>
        <w:t>22年，在总经理的领导下，公司全年无死亡、重伤事故。公司加强对各部门的安全管理，并与所有部门签订安全协议，明确责任，落实追责制度。公司开展各类安全教育培训，对新员工进行三级安全教育。公司进行消防安全应急预案演练，真实地演示火灾发生的救援过程，为员工提供应急救援知识；组织消防疏散演习，使员工熟悉了消防通道和疏散门位，掌握了逃生自救方法。</w:t>
      </w:r>
    </w:p>
    <w:p>
      <w:pPr>
        <w:pStyle w:val="12"/>
        <w:spacing w:line="360" w:lineRule="auto"/>
        <w:ind w:firstLine="562"/>
        <w:rPr>
          <w:rFonts w:ascii="宋体" w:hAnsi="宋体" w:eastAsia="宋体"/>
          <w:b/>
          <w:sz w:val="28"/>
          <w:szCs w:val="28"/>
        </w:rPr>
      </w:pPr>
      <w:r>
        <w:rPr>
          <w:rFonts w:hint="eastAsia" w:ascii="宋体" w:hAnsi="宋体" w:eastAsia="宋体"/>
          <w:b/>
          <w:sz w:val="28"/>
          <w:szCs w:val="28"/>
        </w:rPr>
        <w:t>2、保护员工权益，关爱员工，解决员工工作和生活中的实际问题和困难</w:t>
      </w:r>
    </w:p>
    <w:p>
      <w:pPr>
        <w:pStyle w:val="12"/>
        <w:spacing w:line="360" w:lineRule="auto"/>
        <w:ind w:firstLine="480"/>
        <w:rPr>
          <w:rFonts w:ascii="宋体" w:hAnsi="宋体" w:eastAsia="宋体"/>
          <w:sz w:val="24"/>
          <w:szCs w:val="24"/>
        </w:rPr>
      </w:pPr>
      <w:r>
        <w:rPr>
          <w:rFonts w:hint="eastAsia" w:ascii="宋体" w:hAnsi="宋体" w:eastAsia="宋体"/>
          <w:sz w:val="24"/>
          <w:szCs w:val="24"/>
        </w:rPr>
        <w:t>公司各类员工合同签订率100%，合同执行100%，加班时间完全按照国家法律规定执行，五险一金完全法律规定缴纳，公司根据国家劳动法律法规的相关要求制定了以岗位绩效工资制为主体的工资分配制度，按时足额发放员工薪酬，使员工薪酬与企业经营成果相匹配。</w:t>
      </w:r>
    </w:p>
    <w:p>
      <w:pPr>
        <w:pStyle w:val="12"/>
        <w:spacing w:line="360" w:lineRule="auto"/>
        <w:ind w:firstLine="480"/>
        <w:rPr>
          <w:rFonts w:ascii="宋体" w:hAnsi="宋体" w:eastAsia="宋体"/>
          <w:sz w:val="24"/>
          <w:szCs w:val="24"/>
        </w:rPr>
      </w:pPr>
      <w:r>
        <w:rPr>
          <w:rFonts w:hint="eastAsia" w:ascii="宋体" w:hAnsi="宋体" w:eastAsia="宋体"/>
          <w:sz w:val="24"/>
          <w:szCs w:val="24"/>
        </w:rPr>
        <w:t>高层领导及时倾听广大员工的心声，了解员工支持和保障措施的效果，进一步解决员工工作和生活中的实际问题和困难；对于每名的员工申诉，公司开通了畅通的员工申诉管理通道。无论是建议还是意见，对于各级人员的信息都进行详细的反馈，让员工了解到公司关注了员工的想法，公司重视员工的想法。</w:t>
      </w:r>
    </w:p>
    <w:p>
      <w:pPr>
        <w:snapToGrid w:val="0"/>
        <w:spacing w:before="156" w:beforeLines="50" w:line="360" w:lineRule="auto"/>
        <w:jc w:val="center"/>
        <w:rPr>
          <w:rFonts w:ascii="黑体" w:hAnsi="黑体" w:eastAsia="黑体"/>
          <w:bCs/>
          <w:szCs w:val="21"/>
        </w:rPr>
      </w:pPr>
      <w:r>
        <w:rPr>
          <w:rFonts w:hint="eastAsia" w:ascii="黑体" w:hAnsi="黑体" w:eastAsia="黑体"/>
          <w:bCs/>
          <w:szCs w:val="21"/>
        </w:rPr>
        <w:t>表3 影响员工满意度的关键因素及对策</w:t>
      </w:r>
    </w:p>
    <w:tbl>
      <w:tblPr>
        <w:tblStyle w:val="9"/>
        <w:tblW w:w="48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3"/>
        <w:gridCol w:w="1208"/>
        <w:gridCol w:w="2877"/>
        <w:gridCol w:w="2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30" w:type="pct"/>
            <w:shd w:val="clear" w:color="auto" w:fill="538135"/>
            <w:vAlign w:val="center"/>
          </w:tcPr>
          <w:p>
            <w:pPr>
              <w:pStyle w:val="19"/>
              <w:spacing w:line="240" w:lineRule="auto"/>
              <w:jc w:val="center"/>
              <w:rPr>
                <w:rFonts w:hAnsi="宋体"/>
                <w:b/>
                <w:bCs/>
                <w:color w:val="FFFFFF"/>
                <w:sz w:val="21"/>
                <w:szCs w:val="21"/>
              </w:rPr>
            </w:pPr>
            <w:bookmarkStart w:id="1" w:name="_Hlk46202203"/>
            <w:r>
              <w:rPr>
                <w:rFonts w:hint="eastAsia" w:hAnsi="宋体"/>
                <w:b/>
                <w:bCs/>
                <w:color w:val="FFFFFF"/>
                <w:sz w:val="21"/>
                <w:szCs w:val="21"/>
              </w:rPr>
              <w:t>关键因素</w:t>
            </w:r>
          </w:p>
        </w:tc>
        <w:tc>
          <w:tcPr>
            <w:tcW w:w="647" w:type="pct"/>
            <w:shd w:val="clear" w:color="auto" w:fill="538135"/>
            <w:vAlign w:val="center"/>
          </w:tcPr>
          <w:p>
            <w:pPr>
              <w:pStyle w:val="19"/>
              <w:spacing w:line="240" w:lineRule="auto"/>
              <w:jc w:val="center"/>
              <w:rPr>
                <w:rFonts w:hAnsi="宋体"/>
                <w:b/>
                <w:bCs/>
                <w:color w:val="FFFFFF"/>
                <w:sz w:val="21"/>
                <w:szCs w:val="21"/>
              </w:rPr>
            </w:pPr>
            <w:r>
              <w:rPr>
                <w:rFonts w:hint="eastAsia" w:hAnsi="宋体"/>
                <w:b/>
                <w:bCs/>
                <w:color w:val="FFFFFF"/>
                <w:sz w:val="21"/>
                <w:szCs w:val="21"/>
              </w:rPr>
              <w:t>影响对象</w:t>
            </w:r>
          </w:p>
        </w:tc>
        <w:tc>
          <w:tcPr>
            <w:tcW w:w="1541" w:type="pct"/>
            <w:shd w:val="clear" w:color="auto" w:fill="538135"/>
            <w:vAlign w:val="center"/>
          </w:tcPr>
          <w:p>
            <w:pPr>
              <w:pStyle w:val="19"/>
              <w:spacing w:line="240" w:lineRule="auto"/>
              <w:jc w:val="center"/>
              <w:rPr>
                <w:rFonts w:hAnsi="宋体"/>
                <w:b/>
                <w:bCs/>
                <w:color w:val="FFFFFF"/>
                <w:sz w:val="21"/>
                <w:szCs w:val="21"/>
              </w:rPr>
            </w:pPr>
            <w:r>
              <w:rPr>
                <w:rFonts w:hint="eastAsia" w:hAnsi="宋体"/>
                <w:b/>
                <w:bCs/>
                <w:color w:val="FFFFFF"/>
                <w:sz w:val="21"/>
                <w:szCs w:val="21"/>
              </w:rPr>
              <w:t>可能的影响</w:t>
            </w:r>
          </w:p>
        </w:tc>
        <w:tc>
          <w:tcPr>
            <w:tcW w:w="1480" w:type="pct"/>
            <w:shd w:val="clear" w:color="auto" w:fill="538135"/>
            <w:vAlign w:val="center"/>
          </w:tcPr>
          <w:p>
            <w:pPr>
              <w:pStyle w:val="19"/>
              <w:spacing w:line="240" w:lineRule="auto"/>
              <w:jc w:val="center"/>
              <w:rPr>
                <w:rFonts w:hAnsi="宋体"/>
                <w:b/>
                <w:bCs/>
                <w:color w:val="FFFFFF"/>
                <w:sz w:val="21"/>
                <w:szCs w:val="21"/>
              </w:rPr>
            </w:pPr>
            <w:r>
              <w:rPr>
                <w:rFonts w:hint="eastAsia" w:hAnsi="宋体"/>
                <w:b/>
                <w:bCs/>
                <w:color w:val="FFFFFF"/>
                <w:sz w:val="21"/>
                <w:szCs w:val="21"/>
              </w:rPr>
              <w:t>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劳动强度、温度、噪声等</w:t>
            </w:r>
          </w:p>
        </w:tc>
        <w:tc>
          <w:tcPr>
            <w:tcW w:w="647" w:type="pct"/>
            <w:vMerge w:val="restart"/>
            <w:vAlign w:val="center"/>
          </w:tcPr>
          <w:p>
            <w:pPr>
              <w:pStyle w:val="19"/>
              <w:spacing w:line="240" w:lineRule="auto"/>
              <w:jc w:val="center"/>
              <w:rPr>
                <w:rFonts w:hAnsi="宋体"/>
                <w:sz w:val="21"/>
                <w:szCs w:val="21"/>
              </w:rPr>
            </w:pPr>
            <w:r>
              <w:rPr>
                <w:rFonts w:hint="eastAsia" w:hAnsi="宋体"/>
                <w:sz w:val="21"/>
                <w:szCs w:val="21"/>
              </w:rPr>
              <w:t>生产操作人员</w:t>
            </w:r>
          </w:p>
        </w:tc>
        <w:tc>
          <w:tcPr>
            <w:tcW w:w="1541" w:type="pct"/>
            <w:vAlign w:val="center"/>
          </w:tcPr>
          <w:p>
            <w:pPr>
              <w:pStyle w:val="19"/>
              <w:spacing w:line="240" w:lineRule="auto"/>
              <w:jc w:val="center"/>
              <w:rPr>
                <w:rFonts w:hAnsi="宋体"/>
                <w:sz w:val="21"/>
                <w:szCs w:val="21"/>
              </w:rPr>
            </w:pPr>
            <w:r>
              <w:rPr>
                <w:rFonts w:hint="eastAsia" w:hAnsi="宋体"/>
                <w:sz w:val="21"/>
                <w:szCs w:val="21"/>
              </w:rPr>
              <w:t>身体健康、满意度</w:t>
            </w:r>
          </w:p>
        </w:tc>
        <w:tc>
          <w:tcPr>
            <w:tcW w:w="1480" w:type="pct"/>
            <w:vAlign w:val="center"/>
          </w:tcPr>
          <w:p>
            <w:pPr>
              <w:pStyle w:val="19"/>
              <w:spacing w:line="240" w:lineRule="auto"/>
              <w:jc w:val="center"/>
              <w:rPr>
                <w:rFonts w:hAnsi="宋体"/>
                <w:sz w:val="21"/>
                <w:szCs w:val="21"/>
              </w:rPr>
            </w:pPr>
            <w:r>
              <w:rPr>
                <w:rFonts w:hint="eastAsia" w:hAnsi="宋体"/>
                <w:sz w:val="21"/>
                <w:szCs w:val="21"/>
              </w:rPr>
              <w:t>改进工艺、改善工作环境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薪酬、福利</w:t>
            </w:r>
          </w:p>
        </w:tc>
        <w:tc>
          <w:tcPr>
            <w:tcW w:w="647" w:type="pct"/>
            <w:vMerge w:val="continue"/>
            <w:vAlign w:val="center"/>
          </w:tcPr>
          <w:p>
            <w:pPr>
              <w:pStyle w:val="19"/>
              <w:spacing w:line="240" w:lineRule="auto"/>
              <w:jc w:val="center"/>
              <w:rPr>
                <w:rFonts w:hAnsi="宋体"/>
                <w:sz w:val="21"/>
                <w:szCs w:val="21"/>
              </w:rPr>
            </w:pPr>
          </w:p>
        </w:tc>
        <w:tc>
          <w:tcPr>
            <w:tcW w:w="1541" w:type="pct"/>
            <w:vAlign w:val="center"/>
          </w:tcPr>
          <w:p>
            <w:pPr>
              <w:pStyle w:val="19"/>
              <w:spacing w:line="240" w:lineRule="auto"/>
              <w:jc w:val="center"/>
              <w:rPr>
                <w:rFonts w:hAnsi="宋体"/>
                <w:sz w:val="21"/>
                <w:szCs w:val="21"/>
              </w:rPr>
            </w:pPr>
            <w:r>
              <w:rPr>
                <w:rFonts w:hint="eastAsia" w:hAnsi="宋体"/>
                <w:sz w:val="21"/>
                <w:szCs w:val="21"/>
              </w:rPr>
              <w:t>满意度、工作积极性</w:t>
            </w:r>
          </w:p>
        </w:tc>
        <w:tc>
          <w:tcPr>
            <w:tcW w:w="1480" w:type="pct"/>
            <w:vAlign w:val="center"/>
          </w:tcPr>
          <w:p>
            <w:pPr>
              <w:pStyle w:val="19"/>
              <w:spacing w:line="240" w:lineRule="auto"/>
              <w:jc w:val="center"/>
              <w:rPr>
                <w:rFonts w:hAnsi="宋体"/>
                <w:sz w:val="21"/>
                <w:szCs w:val="21"/>
              </w:rPr>
            </w:pPr>
            <w:r>
              <w:rPr>
                <w:rFonts w:hint="eastAsia" w:hAnsi="宋体"/>
                <w:sz w:val="21"/>
                <w:szCs w:val="21"/>
              </w:rPr>
              <w:t>建立公正合理的薪酬体系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薪酬、福利</w:t>
            </w:r>
          </w:p>
        </w:tc>
        <w:tc>
          <w:tcPr>
            <w:tcW w:w="647" w:type="pct"/>
            <w:vMerge w:val="restart"/>
            <w:vAlign w:val="center"/>
          </w:tcPr>
          <w:p>
            <w:pPr>
              <w:pStyle w:val="19"/>
              <w:spacing w:line="240" w:lineRule="auto"/>
              <w:jc w:val="center"/>
              <w:rPr>
                <w:rFonts w:hAnsi="宋体"/>
                <w:sz w:val="21"/>
                <w:szCs w:val="21"/>
              </w:rPr>
            </w:pPr>
            <w:r>
              <w:rPr>
                <w:rFonts w:hint="eastAsia" w:hAnsi="宋体"/>
                <w:sz w:val="21"/>
                <w:szCs w:val="21"/>
              </w:rPr>
              <w:t>初、中级管理人员</w:t>
            </w:r>
          </w:p>
        </w:tc>
        <w:tc>
          <w:tcPr>
            <w:tcW w:w="1541" w:type="pct"/>
            <w:vAlign w:val="center"/>
          </w:tcPr>
          <w:p>
            <w:pPr>
              <w:pStyle w:val="19"/>
              <w:spacing w:line="240" w:lineRule="auto"/>
              <w:jc w:val="center"/>
              <w:rPr>
                <w:rFonts w:hAnsi="宋体"/>
                <w:sz w:val="21"/>
                <w:szCs w:val="21"/>
              </w:rPr>
            </w:pPr>
            <w:r>
              <w:rPr>
                <w:rFonts w:hint="eastAsia" w:hAnsi="宋体"/>
                <w:sz w:val="21"/>
                <w:szCs w:val="21"/>
              </w:rPr>
              <w:t>满意度、工作积极性</w:t>
            </w:r>
          </w:p>
        </w:tc>
        <w:tc>
          <w:tcPr>
            <w:tcW w:w="1480" w:type="pct"/>
            <w:vAlign w:val="center"/>
          </w:tcPr>
          <w:p>
            <w:pPr>
              <w:pStyle w:val="19"/>
              <w:spacing w:line="240" w:lineRule="auto"/>
              <w:jc w:val="center"/>
              <w:rPr>
                <w:rFonts w:hAnsi="宋体"/>
                <w:sz w:val="21"/>
                <w:szCs w:val="21"/>
              </w:rPr>
            </w:pPr>
            <w:r>
              <w:rPr>
                <w:rFonts w:hint="eastAsia" w:hAnsi="宋体"/>
                <w:sz w:val="21"/>
                <w:szCs w:val="21"/>
              </w:rPr>
              <w:t>建立公正合理的薪酬体系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培训机会</w:t>
            </w:r>
          </w:p>
        </w:tc>
        <w:tc>
          <w:tcPr>
            <w:tcW w:w="647" w:type="pct"/>
            <w:vMerge w:val="continue"/>
            <w:vAlign w:val="center"/>
          </w:tcPr>
          <w:p>
            <w:pPr>
              <w:pStyle w:val="19"/>
              <w:spacing w:line="240" w:lineRule="auto"/>
              <w:jc w:val="center"/>
              <w:rPr>
                <w:rFonts w:hAnsi="宋体"/>
                <w:sz w:val="21"/>
                <w:szCs w:val="21"/>
              </w:rPr>
            </w:pPr>
          </w:p>
        </w:tc>
        <w:tc>
          <w:tcPr>
            <w:tcW w:w="1541" w:type="pct"/>
            <w:vAlign w:val="center"/>
          </w:tcPr>
          <w:p>
            <w:pPr>
              <w:pStyle w:val="19"/>
              <w:spacing w:line="240" w:lineRule="auto"/>
              <w:jc w:val="center"/>
              <w:rPr>
                <w:rFonts w:hAnsi="宋体"/>
                <w:sz w:val="21"/>
                <w:szCs w:val="21"/>
              </w:rPr>
            </w:pPr>
            <w:r>
              <w:rPr>
                <w:rFonts w:hint="eastAsia" w:hAnsi="宋体"/>
                <w:sz w:val="21"/>
                <w:szCs w:val="21"/>
              </w:rPr>
              <w:t>工作质量、职业发展</w:t>
            </w:r>
          </w:p>
        </w:tc>
        <w:tc>
          <w:tcPr>
            <w:tcW w:w="1480" w:type="pct"/>
            <w:vAlign w:val="center"/>
          </w:tcPr>
          <w:p>
            <w:pPr>
              <w:pStyle w:val="19"/>
              <w:spacing w:line="240" w:lineRule="auto"/>
              <w:jc w:val="center"/>
              <w:rPr>
                <w:rFonts w:hAnsi="宋体"/>
                <w:sz w:val="21"/>
                <w:szCs w:val="21"/>
              </w:rPr>
            </w:pPr>
            <w:r>
              <w:rPr>
                <w:rFonts w:hint="eastAsia" w:hAnsi="宋体"/>
                <w:sz w:val="21"/>
                <w:szCs w:val="21"/>
              </w:rPr>
              <w:t>个性化的培训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职业发展</w:t>
            </w:r>
          </w:p>
        </w:tc>
        <w:tc>
          <w:tcPr>
            <w:tcW w:w="647" w:type="pct"/>
            <w:vMerge w:val="continue"/>
            <w:vAlign w:val="center"/>
          </w:tcPr>
          <w:p>
            <w:pPr>
              <w:pStyle w:val="19"/>
              <w:spacing w:line="240" w:lineRule="auto"/>
              <w:jc w:val="center"/>
              <w:rPr>
                <w:rFonts w:hAnsi="宋体"/>
                <w:sz w:val="21"/>
                <w:szCs w:val="21"/>
              </w:rPr>
            </w:pPr>
          </w:p>
        </w:tc>
        <w:tc>
          <w:tcPr>
            <w:tcW w:w="1541" w:type="pct"/>
            <w:vAlign w:val="center"/>
          </w:tcPr>
          <w:p>
            <w:pPr>
              <w:pStyle w:val="19"/>
              <w:spacing w:line="240" w:lineRule="auto"/>
              <w:jc w:val="center"/>
              <w:rPr>
                <w:rFonts w:hAnsi="宋体"/>
                <w:sz w:val="21"/>
                <w:szCs w:val="21"/>
              </w:rPr>
            </w:pPr>
            <w:r>
              <w:rPr>
                <w:rFonts w:hint="eastAsia" w:hAnsi="宋体"/>
                <w:sz w:val="21"/>
                <w:szCs w:val="21"/>
              </w:rPr>
              <w:t>工作激情、人才流失</w:t>
            </w:r>
          </w:p>
        </w:tc>
        <w:tc>
          <w:tcPr>
            <w:tcW w:w="1480" w:type="pct"/>
            <w:vAlign w:val="center"/>
          </w:tcPr>
          <w:p>
            <w:pPr>
              <w:pStyle w:val="19"/>
              <w:spacing w:line="240" w:lineRule="auto"/>
              <w:jc w:val="center"/>
              <w:rPr>
                <w:rFonts w:hAnsi="宋体"/>
                <w:sz w:val="21"/>
                <w:szCs w:val="21"/>
              </w:rPr>
            </w:pPr>
            <w:r>
              <w:rPr>
                <w:rFonts w:hint="eastAsia" w:hAnsi="宋体"/>
                <w:sz w:val="21"/>
                <w:szCs w:val="21"/>
              </w:rPr>
              <w:t>职业规划、发展通道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团队合作</w:t>
            </w:r>
          </w:p>
        </w:tc>
        <w:tc>
          <w:tcPr>
            <w:tcW w:w="647" w:type="pct"/>
            <w:vMerge w:val="continue"/>
            <w:vAlign w:val="center"/>
          </w:tcPr>
          <w:p>
            <w:pPr>
              <w:pStyle w:val="19"/>
              <w:spacing w:line="240" w:lineRule="auto"/>
              <w:jc w:val="center"/>
              <w:rPr>
                <w:rFonts w:hAnsi="宋体"/>
                <w:sz w:val="21"/>
                <w:szCs w:val="21"/>
              </w:rPr>
            </w:pPr>
          </w:p>
        </w:tc>
        <w:tc>
          <w:tcPr>
            <w:tcW w:w="1541" w:type="pct"/>
            <w:vAlign w:val="center"/>
          </w:tcPr>
          <w:p>
            <w:pPr>
              <w:pStyle w:val="19"/>
              <w:spacing w:line="240" w:lineRule="auto"/>
              <w:jc w:val="center"/>
              <w:rPr>
                <w:rFonts w:hAnsi="宋体"/>
                <w:sz w:val="21"/>
                <w:szCs w:val="21"/>
              </w:rPr>
            </w:pPr>
            <w:r>
              <w:rPr>
                <w:rFonts w:hint="eastAsia" w:hAnsi="宋体"/>
                <w:sz w:val="21"/>
                <w:szCs w:val="21"/>
              </w:rPr>
              <w:t>工作激情、人才流失</w:t>
            </w:r>
          </w:p>
        </w:tc>
        <w:tc>
          <w:tcPr>
            <w:tcW w:w="1480" w:type="pct"/>
            <w:vAlign w:val="center"/>
          </w:tcPr>
          <w:p>
            <w:pPr>
              <w:pStyle w:val="19"/>
              <w:spacing w:line="240" w:lineRule="auto"/>
              <w:jc w:val="center"/>
              <w:rPr>
                <w:rFonts w:hAnsi="宋体"/>
                <w:sz w:val="21"/>
                <w:szCs w:val="21"/>
              </w:rPr>
            </w:pPr>
            <w:r>
              <w:rPr>
                <w:rFonts w:hint="eastAsia" w:hAnsi="宋体"/>
                <w:sz w:val="21"/>
                <w:szCs w:val="21"/>
              </w:rPr>
              <w:t>加强团队建设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生活环境</w:t>
            </w:r>
          </w:p>
        </w:tc>
        <w:tc>
          <w:tcPr>
            <w:tcW w:w="647" w:type="pct"/>
            <w:vMerge w:val="continue"/>
            <w:vAlign w:val="center"/>
          </w:tcPr>
          <w:p>
            <w:pPr>
              <w:pStyle w:val="19"/>
              <w:spacing w:line="240" w:lineRule="auto"/>
              <w:jc w:val="center"/>
              <w:rPr>
                <w:rFonts w:hAnsi="宋体"/>
                <w:sz w:val="21"/>
                <w:szCs w:val="21"/>
              </w:rPr>
            </w:pPr>
          </w:p>
        </w:tc>
        <w:tc>
          <w:tcPr>
            <w:tcW w:w="1541" w:type="pct"/>
            <w:vAlign w:val="center"/>
          </w:tcPr>
          <w:p>
            <w:pPr>
              <w:pStyle w:val="19"/>
              <w:spacing w:line="240" w:lineRule="auto"/>
              <w:jc w:val="center"/>
              <w:rPr>
                <w:rFonts w:hAnsi="宋体"/>
                <w:sz w:val="21"/>
                <w:szCs w:val="21"/>
              </w:rPr>
            </w:pPr>
            <w:r>
              <w:rPr>
                <w:rFonts w:hint="eastAsia" w:hAnsi="宋体"/>
                <w:sz w:val="21"/>
                <w:szCs w:val="21"/>
              </w:rPr>
              <w:t>工作激情、人才流失</w:t>
            </w:r>
          </w:p>
        </w:tc>
        <w:tc>
          <w:tcPr>
            <w:tcW w:w="1480" w:type="pct"/>
            <w:vAlign w:val="center"/>
          </w:tcPr>
          <w:p>
            <w:pPr>
              <w:pStyle w:val="19"/>
              <w:spacing w:line="240" w:lineRule="auto"/>
              <w:jc w:val="center"/>
              <w:rPr>
                <w:rFonts w:hAnsi="宋体"/>
                <w:sz w:val="21"/>
                <w:szCs w:val="21"/>
              </w:rPr>
            </w:pPr>
            <w:r>
              <w:rPr>
                <w:rFonts w:hint="eastAsia" w:hAnsi="宋体"/>
                <w:sz w:val="21"/>
                <w:szCs w:val="21"/>
              </w:rPr>
              <w:t>改善生活区环境，开展多种健康向上的娱乐活动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薪酬、福利</w:t>
            </w:r>
          </w:p>
        </w:tc>
        <w:tc>
          <w:tcPr>
            <w:tcW w:w="647" w:type="pct"/>
            <w:vMerge w:val="restart"/>
            <w:vAlign w:val="center"/>
          </w:tcPr>
          <w:p>
            <w:pPr>
              <w:pStyle w:val="19"/>
              <w:spacing w:line="240" w:lineRule="auto"/>
              <w:jc w:val="center"/>
              <w:rPr>
                <w:rFonts w:hAnsi="宋体"/>
                <w:sz w:val="21"/>
                <w:szCs w:val="21"/>
              </w:rPr>
            </w:pPr>
            <w:r>
              <w:rPr>
                <w:rFonts w:hint="eastAsia" w:hAnsi="宋体"/>
                <w:sz w:val="21"/>
                <w:szCs w:val="21"/>
              </w:rPr>
              <w:t>专业技术人员</w:t>
            </w:r>
          </w:p>
        </w:tc>
        <w:tc>
          <w:tcPr>
            <w:tcW w:w="1541" w:type="pct"/>
            <w:vAlign w:val="center"/>
          </w:tcPr>
          <w:p>
            <w:pPr>
              <w:pStyle w:val="19"/>
              <w:spacing w:line="240" w:lineRule="auto"/>
              <w:jc w:val="center"/>
              <w:rPr>
                <w:rFonts w:hAnsi="宋体"/>
                <w:sz w:val="21"/>
                <w:szCs w:val="21"/>
              </w:rPr>
            </w:pPr>
            <w:r>
              <w:rPr>
                <w:rFonts w:hint="eastAsia" w:hAnsi="宋体"/>
                <w:sz w:val="21"/>
                <w:szCs w:val="21"/>
              </w:rPr>
              <w:t>满意度、工作积极性</w:t>
            </w:r>
          </w:p>
        </w:tc>
        <w:tc>
          <w:tcPr>
            <w:tcW w:w="1480" w:type="pct"/>
            <w:vAlign w:val="center"/>
          </w:tcPr>
          <w:p>
            <w:pPr>
              <w:pStyle w:val="19"/>
              <w:spacing w:line="240" w:lineRule="auto"/>
              <w:jc w:val="center"/>
              <w:rPr>
                <w:rFonts w:hAnsi="宋体"/>
                <w:sz w:val="21"/>
                <w:szCs w:val="21"/>
              </w:rPr>
            </w:pPr>
            <w:r>
              <w:rPr>
                <w:rFonts w:hint="eastAsia" w:hAnsi="宋体"/>
                <w:sz w:val="21"/>
                <w:szCs w:val="21"/>
              </w:rPr>
              <w:t>建立公正合理的薪酬体系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培训机会</w:t>
            </w:r>
          </w:p>
        </w:tc>
        <w:tc>
          <w:tcPr>
            <w:tcW w:w="647" w:type="pct"/>
            <w:vMerge w:val="continue"/>
            <w:vAlign w:val="center"/>
          </w:tcPr>
          <w:p>
            <w:pPr>
              <w:pStyle w:val="19"/>
              <w:spacing w:line="240" w:lineRule="auto"/>
              <w:jc w:val="center"/>
              <w:rPr>
                <w:rFonts w:hAnsi="宋体"/>
                <w:sz w:val="21"/>
                <w:szCs w:val="21"/>
              </w:rPr>
            </w:pPr>
          </w:p>
        </w:tc>
        <w:tc>
          <w:tcPr>
            <w:tcW w:w="1541" w:type="pct"/>
            <w:vAlign w:val="center"/>
          </w:tcPr>
          <w:p>
            <w:pPr>
              <w:pStyle w:val="19"/>
              <w:spacing w:line="240" w:lineRule="auto"/>
              <w:jc w:val="center"/>
              <w:rPr>
                <w:rFonts w:hAnsi="宋体"/>
                <w:sz w:val="21"/>
                <w:szCs w:val="21"/>
              </w:rPr>
            </w:pPr>
            <w:r>
              <w:rPr>
                <w:rFonts w:hint="eastAsia" w:hAnsi="宋体"/>
                <w:sz w:val="21"/>
                <w:szCs w:val="21"/>
              </w:rPr>
              <w:t>工作质量、职业发展</w:t>
            </w:r>
          </w:p>
        </w:tc>
        <w:tc>
          <w:tcPr>
            <w:tcW w:w="1480" w:type="pct"/>
            <w:vAlign w:val="center"/>
          </w:tcPr>
          <w:p>
            <w:pPr>
              <w:pStyle w:val="19"/>
              <w:spacing w:line="240" w:lineRule="auto"/>
              <w:jc w:val="center"/>
              <w:rPr>
                <w:rFonts w:hAnsi="宋体"/>
                <w:sz w:val="21"/>
                <w:szCs w:val="21"/>
              </w:rPr>
            </w:pPr>
            <w:r>
              <w:rPr>
                <w:rFonts w:hint="eastAsia" w:hAnsi="宋体"/>
                <w:sz w:val="21"/>
                <w:szCs w:val="21"/>
              </w:rPr>
              <w:t>个性化的培训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职业发展</w:t>
            </w:r>
          </w:p>
        </w:tc>
        <w:tc>
          <w:tcPr>
            <w:tcW w:w="647" w:type="pct"/>
            <w:vMerge w:val="continue"/>
            <w:vAlign w:val="center"/>
          </w:tcPr>
          <w:p>
            <w:pPr>
              <w:pStyle w:val="19"/>
              <w:spacing w:line="240" w:lineRule="auto"/>
              <w:jc w:val="center"/>
              <w:rPr>
                <w:rFonts w:hAnsi="宋体"/>
                <w:sz w:val="21"/>
                <w:szCs w:val="21"/>
              </w:rPr>
            </w:pPr>
          </w:p>
        </w:tc>
        <w:tc>
          <w:tcPr>
            <w:tcW w:w="1541" w:type="pct"/>
            <w:vAlign w:val="center"/>
          </w:tcPr>
          <w:p>
            <w:pPr>
              <w:pStyle w:val="19"/>
              <w:spacing w:line="240" w:lineRule="auto"/>
              <w:jc w:val="center"/>
              <w:rPr>
                <w:rFonts w:hAnsi="宋体"/>
                <w:sz w:val="21"/>
                <w:szCs w:val="21"/>
              </w:rPr>
            </w:pPr>
            <w:r>
              <w:rPr>
                <w:rFonts w:hint="eastAsia" w:hAnsi="宋体"/>
                <w:sz w:val="21"/>
                <w:szCs w:val="21"/>
              </w:rPr>
              <w:t>工作激情、人才流失</w:t>
            </w:r>
          </w:p>
        </w:tc>
        <w:tc>
          <w:tcPr>
            <w:tcW w:w="1480" w:type="pct"/>
            <w:vAlign w:val="center"/>
          </w:tcPr>
          <w:p>
            <w:pPr>
              <w:pStyle w:val="19"/>
              <w:spacing w:line="240" w:lineRule="auto"/>
              <w:jc w:val="center"/>
              <w:rPr>
                <w:rFonts w:hAnsi="宋体"/>
                <w:sz w:val="21"/>
                <w:szCs w:val="21"/>
              </w:rPr>
            </w:pPr>
            <w:r>
              <w:rPr>
                <w:rFonts w:hint="eastAsia" w:hAnsi="宋体"/>
                <w:sz w:val="21"/>
                <w:szCs w:val="21"/>
              </w:rPr>
              <w:t>职业规划、发展通道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尊重与认可</w:t>
            </w:r>
          </w:p>
        </w:tc>
        <w:tc>
          <w:tcPr>
            <w:tcW w:w="647" w:type="pct"/>
            <w:vMerge w:val="restart"/>
            <w:vAlign w:val="center"/>
          </w:tcPr>
          <w:p>
            <w:pPr>
              <w:pStyle w:val="19"/>
              <w:spacing w:line="240" w:lineRule="auto"/>
              <w:jc w:val="center"/>
              <w:rPr>
                <w:rFonts w:hAnsi="宋体"/>
                <w:sz w:val="21"/>
                <w:szCs w:val="21"/>
              </w:rPr>
            </w:pPr>
            <w:r>
              <w:rPr>
                <w:rFonts w:hint="eastAsia" w:hAnsi="宋体"/>
                <w:sz w:val="21"/>
                <w:szCs w:val="21"/>
              </w:rPr>
              <w:t>高层管理人员</w:t>
            </w:r>
          </w:p>
        </w:tc>
        <w:tc>
          <w:tcPr>
            <w:tcW w:w="1541" w:type="pct"/>
            <w:vAlign w:val="center"/>
          </w:tcPr>
          <w:p>
            <w:pPr>
              <w:pStyle w:val="19"/>
              <w:spacing w:line="240" w:lineRule="auto"/>
              <w:jc w:val="center"/>
              <w:rPr>
                <w:rFonts w:hAnsi="宋体"/>
                <w:sz w:val="21"/>
                <w:szCs w:val="21"/>
              </w:rPr>
            </w:pPr>
            <w:r>
              <w:rPr>
                <w:rFonts w:hint="eastAsia" w:hAnsi="宋体"/>
                <w:sz w:val="21"/>
                <w:szCs w:val="21"/>
              </w:rPr>
              <w:t>成就感</w:t>
            </w:r>
          </w:p>
        </w:tc>
        <w:tc>
          <w:tcPr>
            <w:tcW w:w="1480" w:type="pct"/>
            <w:vAlign w:val="center"/>
          </w:tcPr>
          <w:p>
            <w:pPr>
              <w:pStyle w:val="19"/>
              <w:spacing w:line="240" w:lineRule="auto"/>
              <w:jc w:val="center"/>
              <w:rPr>
                <w:rFonts w:hAnsi="宋体"/>
                <w:sz w:val="21"/>
                <w:szCs w:val="21"/>
              </w:rPr>
            </w:pPr>
            <w:r>
              <w:rPr>
                <w:rFonts w:hint="eastAsia" w:hAnsi="宋体"/>
                <w:sz w:val="21"/>
                <w:szCs w:val="21"/>
              </w:rPr>
              <w:t>激励政策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30" w:type="pct"/>
            <w:vAlign w:val="center"/>
          </w:tcPr>
          <w:p>
            <w:pPr>
              <w:pStyle w:val="19"/>
              <w:spacing w:line="240" w:lineRule="auto"/>
              <w:jc w:val="center"/>
              <w:rPr>
                <w:rFonts w:hAnsi="宋体"/>
                <w:sz w:val="21"/>
                <w:szCs w:val="21"/>
              </w:rPr>
            </w:pPr>
            <w:r>
              <w:rPr>
                <w:rFonts w:hint="eastAsia" w:hAnsi="宋体"/>
                <w:sz w:val="21"/>
                <w:szCs w:val="21"/>
              </w:rPr>
              <w:t>企业文化</w:t>
            </w:r>
          </w:p>
        </w:tc>
        <w:tc>
          <w:tcPr>
            <w:tcW w:w="647" w:type="pct"/>
            <w:vMerge w:val="continue"/>
            <w:vAlign w:val="center"/>
          </w:tcPr>
          <w:p>
            <w:pPr>
              <w:pStyle w:val="19"/>
              <w:spacing w:line="240" w:lineRule="auto"/>
              <w:jc w:val="center"/>
              <w:rPr>
                <w:rFonts w:hAnsi="宋体"/>
                <w:sz w:val="21"/>
                <w:szCs w:val="21"/>
              </w:rPr>
            </w:pPr>
          </w:p>
        </w:tc>
        <w:tc>
          <w:tcPr>
            <w:tcW w:w="1541" w:type="pct"/>
            <w:vAlign w:val="center"/>
          </w:tcPr>
          <w:p>
            <w:pPr>
              <w:pStyle w:val="19"/>
              <w:spacing w:line="240" w:lineRule="auto"/>
              <w:jc w:val="center"/>
              <w:rPr>
                <w:rFonts w:hAnsi="宋体"/>
                <w:sz w:val="21"/>
                <w:szCs w:val="21"/>
              </w:rPr>
            </w:pPr>
            <w:r>
              <w:rPr>
                <w:rFonts w:hint="eastAsia" w:hAnsi="宋体"/>
                <w:sz w:val="21"/>
                <w:szCs w:val="21"/>
              </w:rPr>
              <w:t>归属感</w:t>
            </w:r>
          </w:p>
        </w:tc>
        <w:tc>
          <w:tcPr>
            <w:tcW w:w="1480" w:type="pct"/>
            <w:vAlign w:val="center"/>
          </w:tcPr>
          <w:p>
            <w:pPr>
              <w:pStyle w:val="19"/>
              <w:spacing w:line="240" w:lineRule="auto"/>
              <w:jc w:val="center"/>
              <w:rPr>
                <w:rFonts w:hAnsi="宋体"/>
                <w:sz w:val="21"/>
                <w:szCs w:val="21"/>
              </w:rPr>
            </w:pPr>
            <w:r>
              <w:rPr>
                <w:rFonts w:hint="eastAsia" w:hAnsi="宋体"/>
                <w:sz w:val="21"/>
                <w:szCs w:val="21"/>
              </w:rPr>
              <w:t>人的行为规范整合</w:t>
            </w:r>
          </w:p>
        </w:tc>
      </w:tr>
      <w:bookmarkEnd w:id="1"/>
    </w:tbl>
    <w:p>
      <w:pPr>
        <w:pStyle w:val="12"/>
        <w:spacing w:line="360" w:lineRule="auto"/>
        <w:ind w:firstLine="562"/>
        <w:rPr>
          <w:rFonts w:ascii="宋体" w:hAnsi="宋体" w:eastAsia="宋体"/>
          <w:b/>
          <w:sz w:val="28"/>
          <w:szCs w:val="28"/>
        </w:rPr>
      </w:pPr>
      <w:r>
        <w:rPr>
          <w:rFonts w:hint="eastAsia" w:ascii="宋体" w:hAnsi="宋体" w:eastAsia="宋体"/>
          <w:b/>
          <w:sz w:val="28"/>
          <w:szCs w:val="28"/>
        </w:rPr>
        <w:t>3、帮助员工建立职业发展规划，畅通晋升渠道</w:t>
      </w:r>
    </w:p>
    <w:p>
      <w:pPr>
        <w:pStyle w:val="12"/>
        <w:spacing w:line="360" w:lineRule="auto"/>
        <w:ind w:firstLine="480"/>
        <w:rPr>
          <w:rFonts w:ascii="宋体" w:hAnsi="宋体"/>
          <w:sz w:val="24"/>
        </w:rPr>
      </w:pPr>
      <w:r>
        <w:rPr>
          <w:rFonts w:hint="eastAsia" w:ascii="宋体" w:hAnsi="宋体"/>
          <w:sz w:val="24"/>
        </w:rPr>
        <w:t>公司一直重视员工个人职业发展，为使不同能力素质、职业兴趣的员工都可以找到适合自己的发展提升路径，公司明确了不同职系的晋升评估、管理办法，为员工提供“横向”“纵向”并存的“双轨制”职业发展通道，给予员工不断发展提升的机会。</w:t>
      </w:r>
    </w:p>
    <w:p>
      <w:pPr>
        <w:pStyle w:val="12"/>
        <w:spacing w:line="360" w:lineRule="auto"/>
        <w:ind w:firstLine="480"/>
        <w:rPr>
          <w:rFonts w:ascii="宋体" w:hAnsi="宋体" w:eastAsia="宋体"/>
          <w:sz w:val="24"/>
          <w:szCs w:val="24"/>
        </w:rPr>
      </w:pPr>
      <w:r>
        <w:rPr>
          <w:rFonts w:hint="eastAsia" w:ascii="宋体" w:hAnsi="宋体"/>
          <w:sz w:val="24"/>
        </w:rPr>
        <w:t>员工可根据自身的实际情况选择“纵向发展、横向发展、综合发展”三种职业生涯发展方式。2022年，公司继续推进后备人才培养，给青年骨干提供多元的发展平台</w:t>
      </w:r>
      <w:r>
        <w:rPr>
          <w:rFonts w:hint="eastAsia" w:ascii="宋体" w:hAnsi="宋体" w:eastAsia="宋体"/>
          <w:sz w:val="24"/>
          <w:szCs w:val="24"/>
        </w:rPr>
        <w:t>。</w:t>
      </w:r>
    </w:p>
    <w:p>
      <w:pPr>
        <w:snapToGrid w:val="0"/>
        <w:spacing w:before="156" w:beforeLines="50" w:line="360" w:lineRule="auto"/>
        <w:jc w:val="center"/>
        <w:rPr>
          <w:rFonts w:ascii="黑体" w:hAnsi="黑体" w:eastAsia="黑体"/>
          <w:bCs/>
          <w:szCs w:val="21"/>
        </w:rPr>
      </w:pPr>
      <w:r>
        <w:rPr>
          <w:rFonts w:hint="eastAsia" w:ascii="黑体" w:hAnsi="黑体" w:eastAsia="黑体"/>
          <w:bCs/>
          <w:szCs w:val="21"/>
        </w:rPr>
        <w:t>表4 职业发展通道/晋升通道</w:t>
      </w:r>
    </w:p>
    <w:tbl>
      <w:tblPr>
        <w:tblStyle w:val="9"/>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507"/>
        <w:gridCol w:w="2341"/>
        <w:gridCol w:w="1954"/>
        <w:gridCol w:w="27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tblHeader/>
        </w:trPr>
        <w:tc>
          <w:tcPr>
            <w:tcW w:w="1310" w:type="pct"/>
            <w:vMerge w:val="restart"/>
            <w:tcBorders>
              <w:top w:val="single" w:color="auto" w:sz="4" w:space="0"/>
              <w:left w:val="single" w:color="auto" w:sz="4" w:space="0"/>
              <w:bottom w:val="single" w:color="auto" w:sz="4" w:space="0"/>
              <w:right w:val="single" w:color="auto" w:sz="4" w:space="0"/>
              <w:tl2br w:val="single" w:color="auto" w:sz="4" w:space="0"/>
            </w:tcBorders>
            <w:shd w:val="clear" w:color="auto" w:fill="538135"/>
          </w:tcPr>
          <w:p>
            <w:pPr>
              <w:jc w:val="right"/>
              <w:rPr>
                <w:rFonts w:ascii="宋体" w:hAnsi="宋体"/>
                <w:b/>
                <w:color w:val="FFFFFF"/>
                <w:szCs w:val="18"/>
              </w:rPr>
            </w:pPr>
            <w:r>
              <w:rPr>
                <w:rFonts w:hint="eastAsia" w:ascii="宋体" w:hAnsi="宋体"/>
                <w:b/>
                <w:color w:val="FFFFFF"/>
                <w:szCs w:val="18"/>
              </w:rPr>
              <w:t>发展通道</w:t>
            </w:r>
          </w:p>
          <w:p>
            <w:pPr>
              <w:rPr>
                <w:rFonts w:ascii="宋体" w:hAnsi="宋体"/>
                <w:b/>
                <w:color w:val="FFFFFF"/>
                <w:szCs w:val="18"/>
              </w:rPr>
            </w:pPr>
            <w:r>
              <w:rPr>
                <w:rFonts w:hint="eastAsia" w:ascii="宋体" w:hAnsi="宋体"/>
                <w:b/>
                <w:color w:val="FFFFFF"/>
                <w:szCs w:val="18"/>
              </w:rPr>
              <w:t>发展层次</w:t>
            </w:r>
          </w:p>
        </w:tc>
        <w:tc>
          <w:tcPr>
            <w:tcW w:w="1223" w:type="pct"/>
            <w:vMerge w:val="restart"/>
            <w:tcBorders>
              <w:top w:val="single" w:color="auto" w:sz="4" w:space="0"/>
              <w:left w:val="single" w:color="auto" w:sz="4" w:space="0"/>
              <w:bottom w:val="single" w:color="auto" w:sz="4" w:space="0"/>
              <w:right w:val="single" w:color="auto" w:sz="4" w:space="0"/>
            </w:tcBorders>
            <w:shd w:val="clear" w:color="auto" w:fill="538135"/>
            <w:vAlign w:val="center"/>
          </w:tcPr>
          <w:p>
            <w:pPr>
              <w:jc w:val="center"/>
              <w:rPr>
                <w:rFonts w:ascii="宋体" w:hAnsi="宋体"/>
                <w:b/>
                <w:color w:val="FFFFFF"/>
                <w:szCs w:val="18"/>
              </w:rPr>
            </w:pPr>
            <w:r>
              <w:rPr>
                <w:rFonts w:hint="eastAsia" w:ascii="宋体" w:hAnsi="宋体"/>
                <w:b/>
                <w:color w:val="FFFFFF"/>
                <w:szCs w:val="18"/>
              </w:rPr>
              <w:t>生产岗</w:t>
            </w:r>
          </w:p>
        </w:tc>
        <w:tc>
          <w:tcPr>
            <w:tcW w:w="1021" w:type="pct"/>
            <w:vMerge w:val="restart"/>
            <w:tcBorders>
              <w:top w:val="single" w:color="auto" w:sz="4" w:space="0"/>
              <w:left w:val="single" w:color="auto" w:sz="4" w:space="0"/>
              <w:bottom w:val="single" w:color="auto" w:sz="4" w:space="0"/>
              <w:right w:val="single" w:color="auto" w:sz="4" w:space="0"/>
            </w:tcBorders>
            <w:shd w:val="clear" w:color="auto" w:fill="538135"/>
            <w:vAlign w:val="center"/>
          </w:tcPr>
          <w:p>
            <w:pPr>
              <w:jc w:val="center"/>
              <w:rPr>
                <w:rFonts w:ascii="宋体" w:hAnsi="宋体"/>
                <w:b/>
                <w:color w:val="FFFFFF"/>
                <w:szCs w:val="18"/>
              </w:rPr>
            </w:pPr>
            <w:r>
              <w:rPr>
                <w:rFonts w:hint="eastAsia" w:ascii="宋体" w:hAnsi="宋体"/>
                <w:b/>
                <w:color w:val="FFFFFF"/>
                <w:szCs w:val="18"/>
              </w:rPr>
              <w:t>管理岗</w:t>
            </w:r>
          </w:p>
        </w:tc>
        <w:tc>
          <w:tcPr>
            <w:tcW w:w="1446" w:type="pct"/>
            <w:vMerge w:val="restart"/>
            <w:tcBorders>
              <w:top w:val="single" w:color="auto" w:sz="4" w:space="0"/>
              <w:left w:val="single" w:color="auto" w:sz="4" w:space="0"/>
              <w:bottom w:val="single" w:color="auto" w:sz="4" w:space="0"/>
              <w:right w:val="single" w:color="auto" w:sz="4" w:space="0"/>
            </w:tcBorders>
            <w:shd w:val="clear" w:color="auto" w:fill="538135"/>
            <w:vAlign w:val="center"/>
          </w:tcPr>
          <w:p>
            <w:pPr>
              <w:jc w:val="center"/>
              <w:rPr>
                <w:rFonts w:ascii="宋体" w:hAnsi="宋体"/>
                <w:b/>
                <w:color w:val="FFFFFF"/>
                <w:szCs w:val="18"/>
              </w:rPr>
            </w:pPr>
            <w:r>
              <w:rPr>
                <w:rFonts w:hint="eastAsia" w:ascii="宋体" w:hAnsi="宋体"/>
                <w:b/>
                <w:color w:val="FFFFFF"/>
                <w:szCs w:val="18"/>
              </w:rPr>
              <w:t>技术岗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 w:hRule="exact"/>
          <w:tblHeader/>
        </w:trPr>
        <w:tc>
          <w:tcPr>
            <w:tcW w:w="1310" w:type="pct"/>
            <w:vMerge w:val="continue"/>
            <w:tcBorders>
              <w:top w:val="single" w:color="auto" w:sz="4" w:space="0"/>
              <w:left w:val="single" w:color="auto" w:sz="4" w:space="0"/>
              <w:bottom w:val="single" w:color="auto" w:sz="4" w:space="0"/>
              <w:right w:val="single" w:color="auto" w:sz="4" w:space="0"/>
              <w:tl2br w:val="single" w:color="auto" w:sz="4" w:space="0"/>
            </w:tcBorders>
            <w:shd w:val="clear" w:color="auto" w:fill="538135"/>
          </w:tcPr>
          <w:p>
            <w:pPr>
              <w:rPr>
                <w:rFonts w:ascii="宋体" w:hAnsi="宋体"/>
                <w:szCs w:val="21"/>
              </w:rPr>
            </w:pPr>
          </w:p>
        </w:tc>
        <w:tc>
          <w:tcPr>
            <w:tcW w:w="1223" w:type="pct"/>
            <w:vMerge w:val="continue"/>
            <w:tcBorders>
              <w:top w:val="single" w:color="auto" w:sz="4" w:space="0"/>
              <w:left w:val="single" w:color="auto" w:sz="4" w:space="0"/>
              <w:bottom w:val="single" w:color="auto" w:sz="4" w:space="0"/>
              <w:right w:val="single" w:color="auto" w:sz="4" w:space="0"/>
            </w:tcBorders>
            <w:shd w:val="clear" w:color="auto" w:fill="538135"/>
            <w:vAlign w:val="center"/>
          </w:tcPr>
          <w:p>
            <w:pPr>
              <w:jc w:val="center"/>
              <w:rPr>
                <w:rFonts w:ascii="宋体" w:hAnsi="宋体"/>
                <w:szCs w:val="21"/>
              </w:rPr>
            </w:pPr>
          </w:p>
        </w:tc>
        <w:tc>
          <w:tcPr>
            <w:tcW w:w="1021" w:type="pct"/>
            <w:vMerge w:val="continue"/>
            <w:tcBorders>
              <w:top w:val="single" w:color="auto" w:sz="4" w:space="0"/>
              <w:left w:val="single" w:color="auto" w:sz="4" w:space="0"/>
              <w:bottom w:val="single" w:color="auto" w:sz="4" w:space="0"/>
              <w:right w:val="single" w:color="auto" w:sz="4" w:space="0"/>
            </w:tcBorders>
            <w:shd w:val="clear" w:color="auto" w:fill="538135"/>
            <w:vAlign w:val="center"/>
          </w:tcPr>
          <w:p>
            <w:pPr>
              <w:jc w:val="center"/>
              <w:rPr>
                <w:rFonts w:ascii="宋体" w:hAnsi="宋体"/>
                <w:szCs w:val="21"/>
              </w:rPr>
            </w:pPr>
          </w:p>
        </w:tc>
        <w:tc>
          <w:tcPr>
            <w:tcW w:w="1446" w:type="pct"/>
            <w:vMerge w:val="continue"/>
            <w:tcBorders>
              <w:top w:val="single" w:color="auto" w:sz="4" w:space="0"/>
              <w:left w:val="single" w:color="auto" w:sz="4" w:space="0"/>
              <w:bottom w:val="single" w:color="auto" w:sz="4" w:space="0"/>
              <w:right w:val="single" w:color="auto" w:sz="4" w:space="0"/>
            </w:tcBorders>
            <w:shd w:val="clear" w:color="auto" w:fill="538135"/>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1310"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基层</w:t>
            </w:r>
          </w:p>
        </w:tc>
        <w:tc>
          <w:tcPr>
            <w:tcW w:w="1223"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一线工人</w:t>
            </w:r>
          </w:p>
        </w:tc>
        <w:tc>
          <w:tcPr>
            <w:tcW w:w="1021"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普通科员</w:t>
            </w:r>
          </w:p>
        </w:tc>
        <w:tc>
          <w:tcPr>
            <w:tcW w:w="144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技术工人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5" w:hRule="atLeast"/>
        </w:trPr>
        <w:tc>
          <w:tcPr>
            <w:tcW w:w="1310"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223"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班组长</w:t>
            </w:r>
          </w:p>
        </w:tc>
        <w:tc>
          <w:tcPr>
            <w:tcW w:w="1021"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专员</w:t>
            </w:r>
          </w:p>
        </w:tc>
        <w:tc>
          <w:tcPr>
            <w:tcW w:w="144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技术员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8" w:hRule="atLeast"/>
        </w:trPr>
        <w:tc>
          <w:tcPr>
            <w:tcW w:w="1310"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中高层</w:t>
            </w:r>
          </w:p>
        </w:tc>
        <w:tc>
          <w:tcPr>
            <w:tcW w:w="1223"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车间主任</w:t>
            </w:r>
          </w:p>
        </w:tc>
        <w:tc>
          <w:tcPr>
            <w:tcW w:w="1021"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部门主管</w:t>
            </w:r>
          </w:p>
        </w:tc>
        <w:tc>
          <w:tcPr>
            <w:tcW w:w="144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技术主管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5" w:hRule="atLeast"/>
        </w:trPr>
        <w:tc>
          <w:tcPr>
            <w:tcW w:w="1310"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223" w:type="pct"/>
            <w:tcBorders>
              <w:top w:val="single" w:color="auto" w:sz="4" w:space="0"/>
              <w:left w:val="single" w:color="auto" w:sz="4" w:space="0"/>
              <w:bottom w:val="single" w:color="auto" w:sz="4" w:space="0"/>
              <w:right w:val="single" w:color="auto" w:sz="4" w:space="0"/>
            </w:tcBorders>
          </w:tcPr>
          <w:p>
            <w:pPr>
              <w:jc w:val="center"/>
              <w:rPr>
                <w:rFonts w:ascii="宋体" w:hAnsi="宋体" w:eastAsia="宋体"/>
                <w:szCs w:val="21"/>
              </w:rPr>
            </w:pPr>
            <w:r>
              <w:rPr>
                <w:rFonts w:hint="eastAsia" w:ascii="宋体" w:hAnsi="宋体"/>
                <w:szCs w:val="21"/>
              </w:rPr>
              <w:t>厂长</w:t>
            </w:r>
          </w:p>
        </w:tc>
        <w:tc>
          <w:tcPr>
            <w:tcW w:w="1021" w:type="pct"/>
            <w:tcBorders>
              <w:top w:val="single" w:color="auto" w:sz="4" w:space="0"/>
              <w:left w:val="single" w:color="auto" w:sz="4" w:space="0"/>
              <w:bottom w:val="single" w:color="auto" w:sz="4" w:space="0"/>
              <w:right w:val="single" w:color="auto" w:sz="4" w:space="0"/>
            </w:tcBorders>
          </w:tcPr>
          <w:p>
            <w:pPr>
              <w:jc w:val="center"/>
              <w:rPr>
                <w:rFonts w:ascii="宋体" w:hAnsi="宋体"/>
                <w:szCs w:val="21"/>
              </w:rPr>
            </w:pPr>
            <w:r>
              <w:rPr>
                <w:rFonts w:hint="eastAsia" w:ascii="宋体" w:hAnsi="宋体"/>
                <w:szCs w:val="21"/>
              </w:rPr>
              <w:t>部门经理</w:t>
            </w:r>
          </w:p>
        </w:tc>
        <w:tc>
          <w:tcPr>
            <w:tcW w:w="1446" w:type="pct"/>
            <w:tcBorders>
              <w:top w:val="single" w:color="auto" w:sz="4" w:space="0"/>
              <w:left w:val="single" w:color="auto" w:sz="4" w:space="0"/>
              <w:bottom w:val="single" w:color="auto" w:sz="4" w:space="0"/>
              <w:right w:val="single" w:color="auto" w:sz="4" w:space="0"/>
            </w:tcBorders>
          </w:tcPr>
          <w:p>
            <w:pPr>
              <w:jc w:val="center"/>
              <w:rPr>
                <w:rFonts w:ascii="宋体" w:hAnsi="宋体"/>
                <w:szCs w:val="21"/>
              </w:rPr>
            </w:pPr>
            <w:r>
              <w:rPr>
                <w:rFonts w:hint="eastAsia" w:ascii="宋体" w:hAnsi="宋体"/>
                <w:szCs w:val="21"/>
              </w:rPr>
              <w:t>部门经理</w:t>
            </w:r>
          </w:p>
        </w:tc>
      </w:tr>
    </w:tbl>
    <w:p>
      <w:pPr>
        <w:pStyle w:val="12"/>
        <w:spacing w:before="156" w:beforeLines="50" w:line="360" w:lineRule="auto"/>
        <w:ind w:firstLine="562"/>
        <w:rPr>
          <w:rFonts w:ascii="宋体" w:hAnsi="宋体" w:eastAsia="宋体"/>
          <w:b/>
          <w:sz w:val="28"/>
          <w:szCs w:val="28"/>
        </w:rPr>
      </w:pPr>
      <w:r>
        <w:rPr>
          <w:rFonts w:ascii="宋体" w:hAnsi="宋体" w:eastAsia="宋体"/>
          <w:b/>
          <w:sz w:val="28"/>
          <w:szCs w:val="28"/>
        </w:rPr>
        <w:t>4</w:t>
      </w:r>
      <w:r>
        <w:rPr>
          <w:rFonts w:hint="eastAsia" w:ascii="宋体" w:hAnsi="宋体" w:eastAsia="宋体"/>
          <w:b/>
          <w:sz w:val="28"/>
          <w:szCs w:val="28"/>
        </w:rPr>
        <w:t>、组织开展多种形式的群众性活动</w:t>
      </w:r>
    </w:p>
    <w:p>
      <w:pPr>
        <w:pStyle w:val="12"/>
        <w:spacing w:line="360" w:lineRule="auto"/>
        <w:ind w:firstLine="480"/>
        <w:rPr>
          <w:rFonts w:ascii="宋体" w:hAnsi="宋体" w:eastAsia="宋体"/>
          <w:sz w:val="24"/>
          <w:szCs w:val="24"/>
        </w:rPr>
      </w:pPr>
      <w:r>
        <w:rPr>
          <w:rFonts w:hint="eastAsia" w:ascii="宋体" w:hAnsi="宋体" w:eastAsia="宋体"/>
          <w:sz w:val="24"/>
          <w:szCs w:val="24"/>
        </w:rPr>
        <w:t>公司从生活的各个方面提升员工幸福感，为员工提供便利的运动场所，积极组织开展丰富多彩、寓教于乐的文娱活动，例如举办年会、部门团建、年度旅游等文体活动。</w:t>
      </w:r>
    </w:p>
    <w:p>
      <w:pPr>
        <w:spacing w:line="360" w:lineRule="auto"/>
        <w:ind w:firstLine="562" w:firstLineChars="200"/>
        <w:outlineLvl w:val="2"/>
        <w:rPr>
          <w:rFonts w:ascii="宋体" w:hAnsi="宋体" w:eastAsia="宋体" w:cs="宋体"/>
          <w:b/>
          <w:kern w:val="0"/>
          <w:sz w:val="28"/>
          <w:szCs w:val="28"/>
          <w:lang w:val="zh-CN"/>
        </w:rPr>
      </w:pPr>
      <w:r>
        <w:rPr>
          <w:rFonts w:hint="eastAsia" w:ascii="宋体" w:hAnsi="宋体" w:eastAsia="宋体" w:cs="宋体"/>
          <w:b/>
          <w:kern w:val="0"/>
          <w:sz w:val="28"/>
          <w:szCs w:val="28"/>
          <w:lang w:val="zh-CN"/>
        </w:rPr>
        <w:t>（四）供应商、客户等其他相关方权益保护</w:t>
      </w:r>
    </w:p>
    <w:p>
      <w:pPr>
        <w:pStyle w:val="12"/>
        <w:spacing w:line="360" w:lineRule="auto"/>
        <w:ind w:firstLine="480"/>
        <w:rPr>
          <w:rFonts w:ascii="宋体" w:hAnsi="宋体" w:eastAsia="宋体"/>
          <w:sz w:val="24"/>
          <w:szCs w:val="24"/>
        </w:rPr>
      </w:pPr>
      <w:r>
        <w:rPr>
          <w:rFonts w:hint="eastAsia" w:ascii="宋体" w:hAnsi="宋体" w:eastAsia="宋体"/>
          <w:sz w:val="24"/>
          <w:szCs w:val="24"/>
        </w:rPr>
        <w:t>公司本着“诚信、共赢”的精神，和供应商、客户等相关方进行友好协商合作，严格履行合同。公司把依法纳税、环境保护、安全生产等社会责任项目都纳入公司年度目标，责任到人。</w:t>
      </w:r>
    </w:p>
    <w:p>
      <w:pPr>
        <w:pStyle w:val="12"/>
        <w:spacing w:line="360" w:lineRule="auto"/>
        <w:ind w:firstLine="480"/>
        <w:rPr>
          <w:rFonts w:ascii="宋体" w:hAnsi="宋体" w:eastAsia="宋体"/>
          <w:sz w:val="24"/>
          <w:szCs w:val="24"/>
        </w:rPr>
      </w:pPr>
      <w:r>
        <w:rPr>
          <w:rFonts w:hint="eastAsia" w:ascii="宋体" w:hAnsi="宋体" w:eastAsia="宋体"/>
          <w:sz w:val="24"/>
          <w:szCs w:val="24"/>
        </w:rPr>
        <w:t>公司一贯视产品质量为企业生命，严把产品质量关，</w:t>
      </w:r>
      <w:r>
        <w:rPr>
          <w:rFonts w:hint="eastAsia" w:ascii="宋体" w:hAnsi="宋体" w:eastAsia="宋体" w:cs="宋体"/>
          <w:sz w:val="24"/>
        </w:rPr>
        <w:t>先后导入ISO 9001、ISO 14001、ISO 45001管</w:t>
      </w:r>
      <w:r>
        <w:rPr>
          <w:rFonts w:hint="eastAsia" w:ascii="Arial" w:hAnsi="Arial" w:cs="Arial"/>
          <w:sz w:val="24"/>
        </w:rPr>
        <w:t>理体系</w:t>
      </w:r>
      <w:r>
        <w:rPr>
          <w:rFonts w:hint="eastAsia" w:ascii="宋体" w:hAnsi="宋体"/>
          <w:sz w:val="24"/>
        </w:rPr>
        <w:t>，配备先进的研发和检测等设备，</w:t>
      </w:r>
      <w:r>
        <w:rPr>
          <w:rFonts w:hint="eastAsia" w:ascii="宋体" w:hAnsi="宋体" w:eastAsia="宋体"/>
          <w:sz w:val="24"/>
          <w:szCs w:val="24"/>
        </w:rPr>
        <w:t>建立产品质量管理的长效机制和全面质量管理体系，从原料控制、技术保障、生产过程控制、销售环节控制等各个环节加强质量控制与保证，为客户提供放心产品。</w:t>
      </w:r>
    </w:p>
    <w:p>
      <w:pPr>
        <w:pStyle w:val="12"/>
        <w:spacing w:line="360" w:lineRule="auto"/>
        <w:ind w:firstLine="480"/>
        <w:rPr>
          <w:rFonts w:ascii="宋体" w:hAnsi="宋体" w:eastAsia="宋体"/>
          <w:sz w:val="24"/>
          <w:szCs w:val="24"/>
        </w:rPr>
      </w:pPr>
    </w:p>
    <w:p>
      <w:pPr>
        <w:spacing w:line="360" w:lineRule="auto"/>
        <w:ind w:firstLine="562" w:firstLineChars="200"/>
        <w:outlineLvl w:val="2"/>
        <w:rPr>
          <w:rFonts w:ascii="宋体" w:hAnsi="宋体" w:eastAsia="宋体" w:cs="宋体"/>
          <w:b/>
          <w:kern w:val="0"/>
          <w:sz w:val="28"/>
          <w:szCs w:val="28"/>
          <w:lang w:val="zh-CN"/>
        </w:rPr>
      </w:pPr>
      <w:r>
        <w:rPr>
          <w:rFonts w:hint="eastAsia" w:ascii="宋体" w:hAnsi="宋体" w:eastAsia="宋体" w:cs="宋体"/>
          <w:b/>
          <w:kern w:val="0"/>
          <w:sz w:val="28"/>
          <w:szCs w:val="28"/>
          <w:lang w:val="zh-CN"/>
        </w:rPr>
        <w:t>（五）环境保护与可持续发展</w:t>
      </w:r>
    </w:p>
    <w:p>
      <w:pPr>
        <w:pStyle w:val="12"/>
        <w:spacing w:line="360" w:lineRule="auto"/>
        <w:ind w:firstLine="562"/>
        <w:rPr>
          <w:rFonts w:ascii="宋体" w:hAnsi="宋体" w:eastAsia="宋体"/>
          <w:b/>
          <w:sz w:val="28"/>
          <w:szCs w:val="28"/>
        </w:rPr>
      </w:pPr>
      <w:r>
        <w:rPr>
          <w:rFonts w:ascii="宋体" w:hAnsi="宋体" w:eastAsia="宋体"/>
          <w:b/>
          <w:sz w:val="28"/>
          <w:szCs w:val="28"/>
        </w:rPr>
        <w:t>1</w:t>
      </w:r>
      <w:r>
        <w:rPr>
          <w:rFonts w:hint="eastAsia" w:ascii="宋体" w:hAnsi="宋体" w:eastAsia="宋体"/>
          <w:b/>
          <w:sz w:val="28"/>
          <w:szCs w:val="28"/>
        </w:rPr>
        <w:t>、节能环保</w:t>
      </w:r>
    </w:p>
    <w:p>
      <w:pPr>
        <w:pStyle w:val="2"/>
        <w:spacing w:line="360" w:lineRule="auto"/>
        <w:ind w:firstLine="480" w:firstLineChars="200"/>
        <w:rPr>
          <w:rFonts w:hAnsi="宋体" w:eastAsia="宋体" w:cstheme="minorBidi"/>
          <w:sz w:val="24"/>
          <w:szCs w:val="24"/>
        </w:rPr>
      </w:pPr>
      <w:r>
        <w:rPr>
          <w:rFonts w:hint="eastAsia" w:hAnsi="宋体" w:eastAsia="宋体"/>
          <w:sz w:val="24"/>
          <w:szCs w:val="24"/>
        </w:rPr>
        <w:t>川禾机械认真履行安全环保责任和企业社会责任，立足当下，着眼长远，把实现集约、循环、环保的绿色发展作为转变经济发展方式的切入点，以实现绿色生产“零排放”为目标，以实现“清洁生产”为宗旨，以实现“源头上杜绝污染物产生”为原则，全面推进减排减污，努力构建资源节约型、环境友好型企业。采取“以老带新”的治理措施。</w:t>
      </w:r>
    </w:p>
    <w:p>
      <w:pPr>
        <w:pStyle w:val="12"/>
        <w:spacing w:line="360" w:lineRule="auto"/>
        <w:ind w:firstLine="562"/>
        <w:rPr>
          <w:rFonts w:ascii="宋体" w:hAnsi="宋体" w:eastAsia="宋体"/>
          <w:b/>
          <w:sz w:val="28"/>
          <w:szCs w:val="28"/>
        </w:rPr>
      </w:pPr>
      <w:r>
        <w:rPr>
          <w:rFonts w:hint="eastAsia" w:ascii="宋体" w:hAnsi="宋体" w:eastAsia="宋体"/>
          <w:b/>
          <w:sz w:val="28"/>
          <w:szCs w:val="28"/>
        </w:rPr>
        <w:t>2、合规排放</w:t>
      </w:r>
    </w:p>
    <w:p>
      <w:pPr>
        <w:pStyle w:val="12"/>
        <w:spacing w:line="360" w:lineRule="auto"/>
        <w:ind w:firstLine="480"/>
        <w:rPr>
          <w:rFonts w:ascii="宋体" w:hAnsi="宋体" w:eastAsia="宋体"/>
          <w:sz w:val="24"/>
          <w:szCs w:val="24"/>
        </w:rPr>
      </w:pPr>
      <w:r>
        <w:rPr>
          <w:rFonts w:hint="eastAsia" w:ascii="宋体" w:hAnsi="宋体" w:eastAsia="宋体"/>
          <w:sz w:val="24"/>
          <w:szCs w:val="24"/>
        </w:rPr>
        <w:t>公司专业从事机床的生产和销售，加工过程会产生废水、废气等，公司对环保问题丝毫不放松，扎实推进ISO 14001与ISO 45001管理，做好环境因素和危险源的识别、评价与控制，并积极采用高效、节能、环保的新工艺，开展零排放和节能方面技术的研究，大力加强环保、绿化等方面的投入，坚决贯彻“减少污染”的原则。</w:t>
      </w:r>
    </w:p>
    <w:p>
      <w:pPr>
        <w:pStyle w:val="12"/>
        <w:spacing w:line="360" w:lineRule="auto"/>
        <w:ind w:firstLine="480"/>
        <w:rPr>
          <w:rFonts w:ascii="宋体" w:hAnsi="宋体" w:eastAsia="宋体"/>
          <w:sz w:val="24"/>
          <w:szCs w:val="24"/>
        </w:rPr>
      </w:pPr>
      <w:r>
        <w:rPr>
          <w:rFonts w:hint="eastAsia" w:ascii="宋体" w:hAnsi="宋体" w:eastAsia="宋体"/>
          <w:sz w:val="24"/>
          <w:szCs w:val="24"/>
        </w:rPr>
        <w:t>三废方面，公司无生产废水；公司通过选用低噪音设备、指定专人负责技术设备的维护保养等方式减少噪音，每年委托专业的第三方检定公司对公司生产区域进行测量检定，长期发放劳保品预防；固体废弃物经收集后或回收利用，或委托有资质单位处理，生活垃圾则由当地环卫部门处理，保证了污染物非正常排放。</w:t>
      </w:r>
    </w:p>
    <w:p>
      <w:pPr>
        <w:snapToGrid w:val="0"/>
        <w:spacing w:before="156" w:beforeLines="50" w:line="360" w:lineRule="auto"/>
        <w:jc w:val="center"/>
        <w:rPr>
          <w:rFonts w:ascii="黑体" w:hAnsi="黑体" w:eastAsia="黑体"/>
          <w:bCs/>
          <w:szCs w:val="21"/>
        </w:rPr>
      </w:pPr>
      <w:r>
        <w:rPr>
          <w:rFonts w:hint="eastAsia" w:ascii="黑体" w:hAnsi="黑体" w:eastAsia="黑体"/>
          <w:bCs/>
          <w:szCs w:val="21"/>
        </w:rPr>
        <w:t>表5 废弃物排放情况</w:t>
      </w:r>
    </w:p>
    <w:tbl>
      <w:tblPr>
        <w:tblStyle w:val="9"/>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22"/>
        <w:gridCol w:w="1133"/>
        <w:gridCol w:w="3118"/>
        <w:gridCol w:w="1276"/>
        <w:gridCol w:w="28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543" w:type="pct"/>
            <w:shd w:val="clear" w:color="auto" w:fill="538135"/>
            <w:tcMar>
              <w:left w:w="28" w:type="dxa"/>
              <w:right w:w="28" w:type="dxa"/>
            </w:tcMar>
            <w:vAlign w:val="center"/>
          </w:tcPr>
          <w:p>
            <w:pPr>
              <w:jc w:val="center"/>
              <w:rPr>
                <w:rFonts w:ascii="宋体" w:hAnsi="宋体"/>
                <w:b/>
                <w:color w:val="FFFFFF"/>
                <w:szCs w:val="18"/>
              </w:rPr>
            </w:pPr>
            <w:r>
              <w:rPr>
                <w:rFonts w:hint="eastAsia" w:ascii="宋体" w:hAnsi="宋体"/>
                <w:b/>
                <w:color w:val="FFFFFF"/>
                <w:szCs w:val="18"/>
              </w:rPr>
              <w:t>关键过程</w:t>
            </w:r>
          </w:p>
        </w:tc>
        <w:tc>
          <w:tcPr>
            <w:tcW w:w="602" w:type="pct"/>
            <w:shd w:val="clear" w:color="auto" w:fill="538135"/>
            <w:tcMar>
              <w:left w:w="28" w:type="dxa"/>
              <w:right w:w="28" w:type="dxa"/>
            </w:tcMar>
            <w:vAlign w:val="center"/>
          </w:tcPr>
          <w:p>
            <w:pPr>
              <w:jc w:val="center"/>
              <w:rPr>
                <w:rFonts w:ascii="宋体" w:hAnsi="宋体"/>
                <w:b/>
                <w:color w:val="FFFFFF"/>
                <w:szCs w:val="18"/>
              </w:rPr>
            </w:pPr>
            <w:r>
              <w:rPr>
                <w:rFonts w:hint="eastAsia" w:ascii="宋体" w:hAnsi="宋体"/>
                <w:b/>
                <w:color w:val="FFFFFF"/>
                <w:szCs w:val="18"/>
              </w:rPr>
              <w:t>重大环境因素/危险源</w:t>
            </w:r>
          </w:p>
        </w:tc>
        <w:tc>
          <w:tcPr>
            <w:tcW w:w="1657" w:type="pct"/>
            <w:shd w:val="clear" w:color="auto" w:fill="538135"/>
            <w:tcMar>
              <w:left w:w="28" w:type="dxa"/>
              <w:right w:w="28" w:type="dxa"/>
            </w:tcMar>
            <w:vAlign w:val="center"/>
          </w:tcPr>
          <w:p>
            <w:pPr>
              <w:jc w:val="center"/>
              <w:rPr>
                <w:rFonts w:ascii="宋体" w:hAnsi="宋体"/>
                <w:b/>
                <w:color w:val="FFFFFF"/>
                <w:szCs w:val="18"/>
              </w:rPr>
            </w:pPr>
            <w:r>
              <w:rPr>
                <w:rFonts w:hint="eastAsia" w:ascii="宋体" w:hAnsi="宋体"/>
                <w:b/>
                <w:color w:val="FFFFFF"/>
                <w:szCs w:val="18"/>
              </w:rPr>
              <w:t>要求</w:t>
            </w:r>
          </w:p>
        </w:tc>
        <w:tc>
          <w:tcPr>
            <w:tcW w:w="678" w:type="pct"/>
            <w:shd w:val="clear" w:color="auto" w:fill="538135"/>
            <w:tcMar>
              <w:left w:w="28" w:type="dxa"/>
              <w:right w:w="28" w:type="dxa"/>
            </w:tcMar>
            <w:vAlign w:val="center"/>
          </w:tcPr>
          <w:p>
            <w:pPr>
              <w:jc w:val="center"/>
              <w:rPr>
                <w:rFonts w:ascii="宋体" w:hAnsi="宋体"/>
                <w:b/>
                <w:color w:val="FFFFFF"/>
                <w:szCs w:val="18"/>
              </w:rPr>
            </w:pPr>
            <w:r>
              <w:rPr>
                <w:rFonts w:hint="eastAsia" w:ascii="宋体" w:hAnsi="宋体"/>
                <w:b/>
                <w:color w:val="FFFFFF"/>
                <w:szCs w:val="18"/>
              </w:rPr>
              <w:t>内控指标</w:t>
            </w:r>
          </w:p>
        </w:tc>
        <w:tc>
          <w:tcPr>
            <w:tcW w:w="1520" w:type="pct"/>
            <w:shd w:val="clear" w:color="auto" w:fill="538135"/>
            <w:tcMar>
              <w:left w:w="28" w:type="dxa"/>
              <w:right w:w="28" w:type="dxa"/>
            </w:tcMar>
            <w:vAlign w:val="center"/>
          </w:tcPr>
          <w:p>
            <w:pPr>
              <w:jc w:val="center"/>
              <w:rPr>
                <w:rFonts w:ascii="宋体" w:hAnsi="宋体"/>
                <w:b/>
                <w:color w:val="FFFFFF"/>
                <w:szCs w:val="18"/>
              </w:rPr>
            </w:pPr>
            <w:r>
              <w:rPr>
                <w:rFonts w:hint="eastAsia" w:ascii="宋体" w:hAnsi="宋体"/>
                <w:b/>
                <w:color w:val="FFFFFF"/>
                <w:szCs w:val="18"/>
              </w:rPr>
              <w:t>测量方法与控制措施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3" w:type="pct"/>
            <w:vMerge w:val="restar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环境</w:t>
            </w:r>
          </w:p>
          <w:p>
            <w:pPr>
              <w:adjustRightInd w:val="0"/>
              <w:snapToGrid w:val="0"/>
              <w:jc w:val="center"/>
              <w:rPr>
                <w:rFonts w:ascii="宋体" w:hAnsi="宋体"/>
                <w:szCs w:val="21"/>
              </w:rPr>
            </w:pPr>
            <w:r>
              <w:rPr>
                <w:rFonts w:hint="eastAsia" w:ascii="宋体" w:hAnsi="宋体"/>
                <w:szCs w:val="21"/>
              </w:rPr>
              <w:t>保护</w:t>
            </w:r>
          </w:p>
        </w:tc>
        <w:tc>
          <w:tcPr>
            <w:tcW w:w="602"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废水</w:t>
            </w:r>
          </w:p>
        </w:tc>
        <w:tc>
          <w:tcPr>
            <w:tcW w:w="1657"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p</w:t>
            </w:r>
            <w:r>
              <w:rPr>
                <w:rFonts w:ascii="宋体" w:hAnsi="宋体"/>
                <w:szCs w:val="21"/>
              </w:rPr>
              <w:t>H</w:t>
            </w:r>
            <w:r>
              <w:rPr>
                <w:rFonts w:hint="eastAsia" w:ascii="宋体" w:hAnsi="宋体"/>
                <w:szCs w:val="21"/>
              </w:rPr>
              <w:t>值6</w:t>
            </w:r>
            <w:r>
              <w:rPr>
                <w:rFonts w:ascii="Times New Roman" w:hAnsi="Times New Roman" w:cs="Times New Roman"/>
                <w:szCs w:val="21"/>
              </w:rPr>
              <w:t>~</w:t>
            </w:r>
            <w:r>
              <w:rPr>
                <w:rFonts w:ascii="宋体" w:hAnsi="宋体"/>
                <w:szCs w:val="21"/>
              </w:rPr>
              <w:t>9</w:t>
            </w:r>
          </w:p>
          <w:p>
            <w:pPr>
              <w:adjustRightInd w:val="0"/>
              <w:snapToGrid w:val="0"/>
              <w:jc w:val="center"/>
              <w:rPr>
                <w:rFonts w:ascii="宋体" w:hAnsi="宋体"/>
                <w:szCs w:val="21"/>
              </w:rPr>
            </w:pPr>
            <w:r>
              <w:rPr>
                <w:rFonts w:hint="eastAsia" w:ascii="宋体" w:hAnsi="宋体"/>
                <w:szCs w:val="21"/>
              </w:rPr>
              <w:t>化学需氧量（C</w:t>
            </w:r>
            <w:r>
              <w:rPr>
                <w:rFonts w:ascii="宋体" w:hAnsi="宋体"/>
                <w:szCs w:val="21"/>
              </w:rPr>
              <w:t>ODC</w:t>
            </w:r>
            <w:r>
              <w:rPr>
                <w:rFonts w:hint="eastAsia" w:ascii="宋体" w:hAnsi="宋体"/>
                <w:szCs w:val="21"/>
              </w:rPr>
              <w:t>r）≤</w:t>
            </w:r>
            <w:r>
              <w:rPr>
                <w:rFonts w:ascii="宋体" w:hAnsi="宋体"/>
                <w:szCs w:val="21"/>
              </w:rPr>
              <w:t>500</w:t>
            </w:r>
          </w:p>
          <w:p>
            <w:pPr>
              <w:adjustRightInd w:val="0"/>
              <w:snapToGrid w:val="0"/>
              <w:jc w:val="center"/>
              <w:rPr>
                <w:rFonts w:ascii="宋体" w:hAnsi="宋体"/>
                <w:szCs w:val="21"/>
              </w:rPr>
            </w:pPr>
            <w:r>
              <w:rPr>
                <w:rFonts w:hint="eastAsia" w:ascii="宋体" w:hAnsi="宋体"/>
                <w:szCs w:val="21"/>
              </w:rPr>
              <w:t>生化需氧量（B</w:t>
            </w:r>
            <w:r>
              <w:rPr>
                <w:rFonts w:ascii="宋体" w:hAnsi="宋体"/>
                <w:szCs w:val="21"/>
              </w:rPr>
              <w:t>OD5</w:t>
            </w:r>
            <w:r>
              <w:rPr>
                <w:rFonts w:hint="eastAsia" w:ascii="宋体" w:hAnsi="宋体"/>
                <w:szCs w:val="21"/>
              </w:rPr>
              <w:t>）≤</w:t>
            </w:r>
            <w:r>
              <w:rPr>
                <w:rFonts w:ascii="宋体" w:hAnsi="宋体"/>
                <w:szCs w:val="21"/>
              </w:rPr>
              <w:t>300</w:t>
            </w:r>
          </w:p>
          <w:p>
            <w:pPr>
              <w:adjustRightInd w:val="0"/>
              <w:snapToGrid w:val="0"/>
              <w:jc w:val="center"/>
              <w:rPr>
                <w:rFonts w:ascii="宋体" w:hAnsi="宋体"/>
                <w:szCs w:val="21"/>
              </w:rPr>
            </w:pPr>
            <w:r>
              <w:rPr>
                <w:rFonts w:hint="eastAsia" w:ascii="宋体" w:hAnsi="宋体"/>
                <w:szCs w:val="21"/>
              </w:rPr>
              <w:t>悬浮物（S</w:t>
            </w:r>
            <w:r>
              <w:rPr>
                <w:rFonts w:ascii="宋体" w:hAnsi="宋体"/>
                <w:szCs w:val="21"/>
              </w:rPr>
              <w:t>S</w:t>
            </w:r>
            <w:r>
              <w:rPr>
                <w:rFonts w:hint="eastAsia" w:ascii="宋体" w:hAnsi="宋体"/>
                <w:szCs w:val="21"/>
              </w:rPr>
              <w:t>）≤4</w:t>
            </w:r>
            <w:r>
              <w:rPr>
                <w:rFonts w:ascii="宋体" w:hAnsi="宋体"/>
                <w:szCs w:val="21"/>
              </w:rPr>
              <w:t>00</w:t>
            </w:r>
          </w:p>
          <w:p>
            <w:pPr>
              <w:adjustRightInd w:val="0"/>
              <w:snapToGrid w:val="0"/>
              <w:jc w:val="center"/>
              <w:rPr>
                <w:rFonts w:ascii="宋体" w:hAnsi="宋体"/>
                <w:szCs w:val="21"/>
              </w:rPr>
            </w:pPr>
            <w:r>
              <w:rPr>
                <w:rFonts w:hint="eastAsia" w:ascii="宋体" w:hAnsi="宋体"/>
                <w:szCs w:val="21"/>
              </w:rPr>
              <w:t>总磷（以P计）≤8</w:t>
            </w:r>
          </w:p>
          <w:p>
            <w:pPr>
              <w:adjustRightInd w:val="0"/>
              <w:snapToGrid w:val="0"/>
              <w:jc w:val="center"/>
              <w:rPr>
                <w:rFonts w:ascii="宋体" w:hAnsi="宋体"/>
                <w:szCs w:val="21"/>
              </w:rPr>
            </w:pPr>
            <w:r>
              <w:rPr>
                <w:rFonts w:hint="eastAsia" w:ascii="宋体" w:hAnsi="宋体"/>
                <w:szCs w:val="21"/>
              </w:rPr>
              <w:t>氨氮（以N计）≤3</w:t>
            </w:r>
            <w:r>
              <w:rPr>
                <w:rFonts w:ascii="宋体" w:hAnsi="宋体"/>
                <w:szCs w:val="21"/>
              </w:rPr>
              <w:t>5</w:t>
            </w:r>
          </w:p>
        </w:tc>
        <w:tc>
          <w:tcPr>
            <w:tcW w:w="678"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同左</w:t>
            </w:r>
          </w:p>
        </w:tc>
        <w:tc>
          <w:tcPr>
            <w:tcW w:w="1520"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委托环境保护监测站进行监测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3" w:type="pct"/>
            <w:vMerge w:val="continue"/>
            <w:tcMar>
              <w:left w:w="28" w:type="dxa"/>
              <w:right w:w="28" w:type="dxa"/>
            </w:tcMar>
            <w:vAlign w:val="center"/>
          </w:tcPr>
          <w:p>
            <w:pPr>
              <w:adjustRightInd w:val="0"/>
              <w:snapToGrid w:val="0"/>
              <w:jc w:val="center"/>
              <w:rPr>
                <w:rFonts w:ascii="宋体" w:hAnsi="宋体"/>
                <w:szCs w:val="21"/>
              </w:rPr>
            </w:pPr>
          </w:p>
        </w:tc>
        <w:tc>
          <w:tcPr>
            <w:tcW w:w="602"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废气</w:t>
            </w:r>
          </w:p>
        </w:tc>
        <w:tc>
          <w:tcPr>
            <w:tcW w:w="1657"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二甲苯排放浓度≤7</w:t>
            </w:r>
            <w:r>
              <w:rPr>
                <w:rFonts w:ascii="宋体" w:hAnsi="宋体"/>
                <w:szCs w:val="21"/>
              </w:rPr>
              <w:t>0</w:t>
            </w:r>
            <w:r>
              <w:rPr>
                <w:rFonts w:hint="eastAsia" w:ascii="宋体" w:hAnsi="宋体"/>
                <w:szCs w:val="21"/>
              </w:rPr>
              <w:t>mg</w:t>
            </w:r>
            <w:r>
              <w:rPr>
                <w:rFonts w:ascii="宋体" w:hAnsi="宋体"/>
                <w:szCs w:val="21"/>
              </w:rPr>
              <w:t>/m3</w:t>
            </w:r>
          </w:p>
          <w:p>
            <w:pPr>
              <w:adjustRightInd w:val="0"/>
              <w:snapToGrid w:val="0"/>
              <w:jc w:val="center"/>
              <w:rPr>
                <w:rFonts w:ascii="宋体" w:hAnsi="宋体"/>
                <w:szCs w:val="21"/>
              </w:rPr>
            </w:pPr>
            <w:r>
              <w:rPr>
                <w:rFonts w:hint="eastAsia" w:ascii="宋体" w:hAnsi="宋体"/>
                <w:szCs w:val="21"/>
              </w:rPr>
              <w:t>非甲烷总烃（以碳计）≤1</w:t>
            </w:r>
            <w:r>
              <w:rPr>
                <w:rFonts w:ascii="宋体" w:hAnsi="宋体"/>
                <w:szCs w:val="21"/>
              </w:rPr>
              <w:t>20</w:t>
            </w:r>
            <w:r>
              <w:rPr>
                <w:rFonts w:hint="eastAsia" w:ascii="宋体" w:hAnsi="宋体"/>
                <w:szCs w:val="21"/>
              </w:rPr>
              <w:t xml:space="preserve"> mg</w:t>
            </w:r>
            <w:r>
              <w:rPr>
                <w:rFonts w:ascii="宋体" w:hAnsi="宋体"/>
                <w:szCs w:val="21"/>
              </w:rPr>
              <w:t>/m3</w:t>
            </w:r>
          </w:p>
        </w:tc>
        <w:tc>
          <w:tcPr>
            <w:tcW w:w="678"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同左</w:t>
            </w:r>
          </w:p>
        </w:tc>
        <w:tc>
          <w:tcPr>
            <w:tcW w:w="1520"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委托环境保护监测站进行监测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3" w:type="pct"/>
            <w:vMerge w:val="continue"/>
            <w:tcMar>
              <w:left w:w="28" w:type="dxa"/>
              <w:right w:w="28" w:type="dxa"/>
            </w:tcMar>
            <w:vAlign w:val="center"/>
          </w:tcPr>
          <w:p>
            <w:pPr>
              <w:adjustRightInd w:val="0"/>
              <w:snapToGrid w:val="0"/>
              <w:jc w:val="center"/>
              <w:rPr>
                <w:rFonts w:ascii="宋体" w:hAnsi="宋体"/>
                <w:szCs w:val="21"/>
              </w:rPr>
            </w:pPr>
          </w:p>
        </w:tc>
        <w:tc>
          <w:tcPr>
            <w:tcW w:w="602"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厂界噪声</w:t>
            </w:r>
          </w:p>
        </w:tc>
        <w:tc>
          <w:tcPr>
            <w:tcW w:w="1657"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w:t>
            </w:r>
            <w:r>
              <w:rPr>
                <w:rFonts w:ascii="宋体" w:hAnsi="宋体"/>
                <w:szCs w:val="21"/>
              </w:rPr>
              <w:t>65</w:t>
            </w:r>
            <w:r>
              <w:rPr>
                <w:rFonts w:hint="eastAsia" w:ascii="宋体" w:hAnsi="宋体"/>
                <w:szCs w:val="21"/>
              </w:rPr>
              <w:t>（昼间）</w:t>
            </w:r>
          </w:p>
        </w:tc>
        <w:tc>
          <w:tcPr>
            <w:tcW w:w="678"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同左</w:t>
            </w:r>
          </w:p>
        </w:tc>
        <w:tc>
          <w:tcPr>
            <w:tcW w:w="1520"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委托环境保护监测站进行监测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3" w:type="pct"/>
            <w:vMerge w:val="continue"/>
            <w:tcMar>
              <w:left w:w="28" w:type="dxa"/>
              <w:right w:w="28" w:type="dxa"/>
            </w:tcMar>
            <w:vAlign w:val="center"/>
          </w:tcPr>
          <w:p>
            <w:pPr>
              <w:adjustRightInd w:val="0"/>
              <w:snapToGrid w:val="0"/>
              <w:jc w:val="center"/>
              <w:rPr>
                <w:rFonts w:ascii="宋体" w:hAnsi="宋体"/>
                <w:szCs w:val="21"/>
              </w:rPr>
            </w:pPr>
          </w:p>
        </w:tc>
        <w:tc>
          <w:tcPr>
            <w:tcW w:w="602"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固废</w:t>
            </w:r>
          </w:p>
        </w:tc>
        <w:tc>
          <w:tcPr>
            <w:tcW w:w="1657"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制定危险废物管理计划，制定意外事故的防范措施和应急预案；不得擅自倾倒、堆放；禁止混入非危险废物中</w:t>
            </w:r>
          </w:p>
        </w:tc>
        <w:tc>
          <w:tcPr>
            <w:tcW w:w="678"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严格执行法律法规要求</w:t>
            </w:r>
          </w:p>
        </w:tc>
        <w:tc>
          <w:tcPr>
            <w:tcW w:w="1520"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委托具有资质的固废处理中心进行处理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3" w:type="pct"/>
            <w:vMerge w:val="restar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节能</w:t>
            </w:r>
          </w:p>
          <w:p>
            <w:pPr>
              <w:adjustRightInd w:val="0"/>
              <w:snapToGrid w:val="0"/>
              <w:jc w:val="center"/>
              <w:rPr>
                <w:rFonts w:ascii="宋体" w:hAnsi="宋体"/>
                <w:szCs w:val="21"/>
              </w:rPr>
            </w:pPr>
            <w:r>
              <w:rPr>
                <w:rFonts w:hint="eastAsia" w:ascii="宋体" w:hAnsi="宋体"/>
                <w:szCs w:val="21"/>
              </w:rPr>
              <w:t>降耗</w:t>
            </w:r>
          </w:p>
        </w:tc>
        <w:tc>
          <w:tcPr>
            <w:tcW w:w="602" w:type="pct"/>
            <w:vMerge w:val="restar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能耗</w:t>
            </w:r>
          </w:p>
        </w:tc>
        <w:tc>
          <w:tcPr>
            <w:tcW w:w="1657"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能耗总量</w:t>
            </w:r>
          </w:p>
        </w:tc>
        <w:tc>
          <w:tcPr>
            <w:tcW w:w="678"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符合公司和政府规定的要求</w:t>
            </w:r>
          </w:p>
        </w:tc>
        <w:tc>
          <w:tcPr>
            <w:tcW w:w="1520"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通过电表、水表和煤耗记录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3" w:type="pct"/>
            <w:vMerge w:val="continue"/>
            <w:tcMar>
              <w:left w:w="28" w:type="dxa"/>
              <w:right w:w="28" w:type="dxa"/>
            </w:tcMar>
            <w:vAlign w:val="center"/>
          </w:tcPr>
          <w:p>
            <w:pPr>
              <w:adjustRightInd w:val="0"/>
              <w:snapToGrid w:val="0"/>
              <w:jc w:val="center"/>
              <w:rPr>
                <w:rFonts w:ascii="宋体" w:hAnsi="宋体"/>
                <w:szCs w:val="21"/>
              </w:rPr>
            </w:pPr>
          </w:p>
        </w:tc>
        <w:tc>
          <w:tcPr>
            <w:tcW w:w="602" w:type="pct"/>
            <w:vMerge w:val="continue"/>
            <w:tcMar>
              <w:left w:w="28" w:type="dxa"/>
              <w:right w:w="28" w:type="dxa"/>
            </w:tcMar>
            <w:vAlign w:val="center"/>
          </w:tcPr>
          <w:p>
            <w:pPr>
              <w:adjustRightInd w:val="0"/>
              <w:snapToGrid w:val="0"/>
              <w:jc w:val="center"/>
              <w:rPr>
                <w:rFonts w:ascii="宋体" w:hAnsi="宋体"/>
                <w:szCs w:val="21"/>
              </w:rPr>
            </w:pPr>
          </w:p>
        </w:tc>
        <w:tc>
          <w:tcPr>
            <w:tcW w:w="1657"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万元产值能耗</w:t>
            </w:r>
          </w:p>
        </w:tc>
        <w:tc>
          <w:tcPr>
            <w:tcW w:w="678"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逐年下降</w:t>
            </w:r>
          </w:p>
        </w:tc>
        <w:tc>
          <w:tcPr>
            <w:tcW w:w="1520"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财务报表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43"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安全</w:t>
            </w:r>
          </w:p>
          <w:p>
            <w:pPr>
              <w:adjustRightInd w:val="0"/>
              <w:snapToGrid w:val="0"/>
              <w:jc w:val="center"/>
              <w:rPr>
                <w:rFonts w:ascii="宋体" w:hAnsi="宋体"/>
                <w:szCs w:val="21"/>
              </w:rPr>
            </w:pPr>
            <w:r>
              <w:rPr>
                <w:rFonts w:hint="eastAsia" w:ascii="宋体" w:hAnsi="宋体"/>
                <w:szCs w:val="21"/>
              </w:rPr>
              <w:t>生产</w:t>
            </w:r>
          </w:p>
        </w:tc>
        <w:tc>
          <w:tcPr>
            <w:tcW w:w="602"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工伤和火灾事故</w:t>
            </w:r>
          </w:p>
        </w:tc>
        <w:tc>
          <w:tcPr>
            <w:tcW w:w="1657"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积极预防工伤和火灾事故；保障安全生产的投入；对员工进行安全知识教育培训</w:t>
            </w:r>
          </w:p>
        </w:tc>
        <w:tc>
          <w:tcPr>
            <w:tcW w:w="678" w:type="pct"/>
            <w:tcMar>
              <w:left w:w="28" w:type="dxa"/>
              <w:right w:w="28" w:type="dxa"/>
            </w:tcMar>
            <w:vAlign w:val="center"/>
          </w:tcPr>
          <w:p>
            <w:pPr>
              <w:adjustRightInd w:val="0"/>
              <w:snapToGrid w:val="0"/>
              <w:jc w:val="center"/>
              <w:rPr>
                <w:rFonts w:ascii="宋体" w:hAnsi="宋体"/>
                <w:szCs w:val="21"/>
              </w:rPr>
            </w:pPr>
            <w:r>
              <w:rPr>
                <w:rFonts w:ascii="宋体" w:hAnsi="宋体"/>
                <w:szCs w:val="21"/>
              </w:rPr>
              <w:t>无死亡事故；控制轻伤</w:t>
            </w:r>
            <w:r>
              <w:rPr>
                <w:rFonts w:hint="eastAsia" w:ascii="宋体" w:hAnsi="宋体"/>
                <w:szCs w:val="21"/>
              </w:rPr>
              <w:t>率</w:t>
            </w:r>
            <w:r>
              <w:rPr>
                <w:rFonts w:ascii="宋体" w:hAnsi="宋体"/>
                <w:szCs w:val="21"/>
              </w:rPr>
              <w:t>在</w:t>
            </w:r>
            <w:r>
              <w:rPr>
                <w:rFonts w:hint="eastAsia" w:ascii="宋体" w:hAnsi="宋体"/>
                <w:szCs w:val="21"/>
              </w:rPr>
              <w:t>5%以内</w:t>
            </w:r>
            <w:r>
              <w:rPr>
                <w:rFonts w:ascii="宋体" w:hAnsi="宋体"/>
                <w:szCs w:val="21"/>
              </w:rPr>
              <w:t>；</w:t>
            </w:r>
          </w:p>
        </w:tc>
        <w:tc>
          <w:tcPr>
            <w:tcW w:w="1520" w:type="pct"/>
            <w:tcMar>
              <w:left w:w="28" w:type="dxa"/>
              <w:right w:w="28" w:type="dxa"/>
            </w:tcMar>
            <w:vAlign w:val="center"/>
          </w:tcPr>
          <w:p>
            <w:pPr>
              <w:adjustRightInd w:val="0"/>
              <w:snapToGrid w:val="0"/>
              <w:jc w:val="center"/>
              <w:rPr>
                <w:rFonts w:ascii="宋体" w:hAnsi="宋体"/>
                <w:szCs w:val="21"/>
              </w:rPr>
            </w:pPr>
            <w:r>
              <w:rPr>
                <w:rFonts w:hint="eastAsia" w:ascii="宋体" w:hAnsi="宋体"/>
                <w:szCs w:val="21"/>
              </w:rPr>
              <w:t>安全事故发生进行统计记录</w:t>
            </w:r>
          </w:p>
        </w:tc>
      </w:tr>
    </w:tbl>
    <w:p>
      <w:pPr>
        <w:spacing w:before="156" w:beforeLines="50" w:line="360" w:lineRule="auto"/>
        <w:ind w:firstLine="562" w:firstLineChars="200"/>
        <w:outlineLvl w:val="2"/>
        <w:rPr>
          <w:rFonts w:ascii="宋体" w:hAnsi="宋体" w:eastAsia="宋体" w:cs="宋体"/>
          <w:b/>
          <w:kern w:val="0"/>
          <w:sz w:val="28"/>
          <w:szCs w:val="28"/>
          <w:lang w:val="zh-CN"/>
        </w:rPr>
      </w:pPr>
      <w:r>
        <w:rPr>
          <w:rFonts w:hint="eastAsia" w:ascii="宋体" w:hAnsi="宋体" w:eastAsia="宋体" w:cs="宋体"/>
          <w:b/>
          <w:kern w:val="0"/>
          <w:sz w:val="28"/>
          <w:szCs w:val="28"/>
          <w:lang w:val="zh-CN"/>
        </w:rPr>
        <w:t>（六）</w:t>
      </w:r>
      <w:r>
        <w:rPr>
          <w:rFonts w:hint="eastAsia" w:ascii="宋体" w:hAnsi="宋体" w:eastAsia="宋体" w:cs="宋体"/>
          <w:b/>
          <w:kern w:val="0"/>
          <w:sz w:val="28"/>
          <w:szCs w:val="28"/>
        </w:rPr>
        <w:t>回报社会，参与公益事业</w:t>
      </w:r>
    </w:p>
    <w:p>
      <w:pPr>
        <w:spacing w:line="360" w:lineRule="auto"/>
        <w:ind w:firstLine="464" w:firstLineChars="200"/>
        <w:jc w:val="left"/>
        <w:rPr>
          <w:rFonts w:ascii="宋体" w:hAnsi="宋体" w:eastAsia="宋体" w:cs="微软雅黑"/>
          <w:color w:val="000000"/>
          <w:spacing w:val="-4"/>
          <w:sz w:val="24"/>
          <w:szCs w:val="28"/>
        </w:rPr>
      </w:pPr>
      <w:r>
        <w:rPr>
          <w:rFonts w:hint="eastAsia" w:ascii="宋体" w:hAnsi="宋体" w:eastAsia="宋体" w:cs="微软雅黑"/>
          <w:color w:val="000000"/>
          <w:spacing w:val="-4"/>
          <w:sz w:val="24"/>
          <w:szCs w:val="28"/>
        </w:rPr>
        <w:t>公司热心社会公益事业，理性、持久地进行公益投入，主要体现在慈善捐助。通过制定年度公益活动计划，从预算、人员等方面保证有计划地开展公益支持活动。通过公益事业，提升公司品牌知名度和美誉度。</w:t>
      </w:r>
    </w:p>
    <w:p>
      <w:pPr>
        <w:snapToGrid w:val="0"/>
        <w:spacing w:before="156" w:beforeLines="50" w:line="360" w:lineRule="auto"/>
        <w:jc w:val="center"/>
        <w:rPr>
          <w:rFonts w:ascii="黑体" w:hAnsi="黑体" w:eastAsia="黑体"/>
          <w:bCs/>
          <w:szCs w:val="21"/>
        </w:rPr>
      </w:pPr>
      <w:r>
        <w:rPr>
          <w:rFonts w:hint="eastAsia" w:ascii="黑体" w:hAnsi="黑体" w:eastAsia="黑体"/>
          <w:bCs/>
          <w:szCs w:val="21"/>
        </w:rPr>
        <w:t>表8公益投入一览表</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4992"/>
        <w:gridCol w:w="1681"/>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423" w:type="pct"/>
            <w:shd w:val="clear" w:color="auto" w:fill="538135"/>
            <w:vAlign w:val="center"/>
          </w:tcPr>
          <w:p>
            <w:pPr>
              <w:spacing w:line="240" w:lineRule="atLeast"/>
              <w:jc w:val="center"/>
              <w:rPr>
                <w:rFonts w:ascii="宋体" w:hAnsi="宋体" w:eastAsia="宋体" w:cs="Times New Roman"/>
                <w:b/>
                <w:color w:val="FFFFFF"/>
                <w:sz w:val="24"/>
                <w:szCs w:val="21"/>
              </w:rPr>
            </w:pPr>
            <w:r>
              <w:rPr>
                <w:rFonts w:hint="eastAsia" w:ascii="宋体" w:hAnsi="宋体" w:eastAsia="宋体" w:cs="Times New Roman"/>
                <w:b/>
                <w:color w:val="FFFFFF"/>
                <w:sz w:val="24"/>
                <w:szCs w:val="21"/>
              </w:rPr>
              <w:t>序号</w:t>
            </w:r>
          </w:p>
        </w:tc>
        <w:tc>
          <w:tcPr>
            <w:tcW w:w="2607" w:type="pct"/>
            <w:shd w:val="clear" w:color="auto" w:fill="538135"/>
            <w:vAlign w:val="center"/>
          </w:tcPr>
          <w:p>
            <w:pPr>
              <w:spacing w:line="240" w:lineRule="atLeast"/>
              <w:jc w:val="center"/>
              <w:rPr>
                <w:rFonts w:ascii="宋体" w:hAnsi="宋体" w:eastAsia="宋体" w:cs="Times New Roman"/>
                <w:b/>
                <w:color w:val="FFFFFF"/>
                <w:sz w:val="24"/>
                <w:szCs w:val="21"/>
              </w:rPr>
            </w:pPr>
            <w:r>
              <w:rPr>
                <w:rFonts w:hint="eastAsia" w:ascii="宋体" w:hAnsi="宋体" w:eastAsia="宋体" w:cs="Times New Roman"/>
                <w:b/>
                <w:color w:val="FFFFFF"/>
                <w:sz w:val="24"/>
                <w:szCs w:val="21"/>
              </w:rPr>
              <w:t>内容</w:t>
            </w:r>
          </w:p>
        </w:tc>
        <w:tc>
          <w:tcPr>
            <w:tcW w:w="878" w:type="pct"/>
            <w:shd w:val="clear" w:color="auto" w:fill="538135"/>
            <w:vAlign w:val="center"/>
          </w:tcPr>
          <w:p>
            <w:pPr>
              <w:spacing w:line="240" w:lineRule="atLeast"/>
              <w:jc w:val="center"/>
              <w:rPr>
                <w:rFonts w:ascii="宋体" w:hAnsi="宋体" w:eastAsia="宋体" w:cs="Times New Roman"/>
                <w:b/>
                <w:color w:val="FFFFFF"/>
                <w:sz w:val="24"/>
                <w:szCs w:val="21"/>
              </w:rPr>
            </w:pPr>
            <w:r>
              <w:rPr>
                <w:rFonts w:hint="eastAsia" w:ascii="宋体" w:hAnsi="宋体" w:eastAsia="宋体" w:cs="Times New Roman"/>
                <w:b/>
                <w:color w:val="FFFFFF"/>
                <w:sz w:val="24"/>
                <w:szCs w:val="21"/>
              </w:rPr>
              <w:t>金额</w:t>
            </w:r>
          </w:p>
        </w:tc>
        <w:tc>
          <w:tcPr>
            <w:tcW w:w="1090" w:type="pct"/>
            <w:shd w:val="clear" w:color="auto" w:fill="538135"/>
            <w:vAlign w:val="center"/>
          </w:tcPr>
          <w:p>
            <w:pPr>
              <w:spacing w:line="240" w:lineRule="atLeast"/>
              <w:jc w:val="center"/>
              <w:rPr>
                <w:rFonts w:ascii="宋体" w:hAnsi="宋体" w:eastAsia="宋体" w:cs="Times New Roman"/>
                <w:b/>
                <w:color w:val="FFFFFF"/>
                <w:sz w:val="24"/>
                <w:szCs w:val="21"/>
              </w:rPr>
            </w:pPr>
            <w:r>
              <w:rPr>
                <w:rFonts w:hint="eastAsia" w:ascii="宋体" w:hAnsi="宋体" w:eastAsia="宋体" w:cs="Times New Roman"/>
                <w:b/>
                <w:color w:val="FFFFFF"/>
                <w:sz w:val="24"/>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3" w:type="pct"/>
            <w:vAlign w:val="center"/>
          </w:tcPr>
          <w:p>
            <w:pPr>
              <w:widowControl/>
              <w:jc w:val="center"/>
              <w:rPr>
                <w:rFonts w:asciiTheme="minorEastAsia" w:hAnsiTheme="minorEastAsia"/>
              </w:rPr>
            </w:pPr>
            <w:r>
              <w:rPr>
                <w:rFonts w:hint="eastAsia" w:asciiTheme="minorEastAsia" w:hAnsiTheme="minorEastAsia"/>
              </w:rPr>
              <w:t>1</w:t>
            </w:r>
          </w:p>
        </w:tc>
        <w:tc>
          <w:tcPr>
            <w:tcW w:w="2607" w:type="pct"/>
            <w:vAlign w:val="center"/>
          </w:tcPr>
          <w:p>
            <w:pPr>
              <w:jc w:val="center"/>
              <w:rPr>
                <w:rFonts w:asciiTheme="minorEastAsia" w:hAnsiTheme="minorEastAsia"/>
              </w:rPr>
            </w:pPr>
            <w:r>
              <w:rPr>
                <w:rFonts w:hint="eastAsia" w:asciiTheme="minorEastAsia" w:hAnsiTheme="minorEastAsia"/>
              </w:rPr>
              <w:t>浙江同济科技职业学院教育基金会用于支持学校现代学徒制教学改革</w:t>
            </w:r>
          </w:p>
        </w:tc>
        <w:tc>
          <w:tcPr>
            <w:tcW w:w="878" w:type="pct"/>
            <w:vAlign w:val="center"/>
          </w:tcPr>
          <w:p>
            <w:pPr>
              <w:jc w:val="center"/>
              <w:rPr>
                <w:rFonts w:asciiTheme="minorEastAsia" w:hAnsiTheme="minorEastAsia"/>
              </w:rPr>
            </w:pPr>
            <w:r>
              <w:rPr>
                <w:rFonts w:hint="eastAsia" w:ascii="宋体" w:hAnsi="宋体" w:eastAsia="宋体" w:cs="宋体"/>
              </w:rPr>
              <w:t>50000.00</w:t>
            </w:r>
          </w:p>
        </w:tc>
        <w:tc>
          <w:tcPr>
            <w:tcW w:w="1090" w:type="pct"/>
            <w:vAlign w:val="center"/>
          </w:tcPr>
          <w:p>
            <w:pPr>
              <w:jc w:val="center"/>
              <w:rPr>
                <w:rFonts w:asciiTheme="minorEastAsia" w:hAnsiTheme="minorEastAsia"/>
              </w:rPr>
            </w:pPr>
            <w:r>
              <w:rPr>
                <w:rFonts w:hint="eastAsia" w:ascii="宋体" w:hAnsi="宋体" w:eastAsia="宋体" w:cs="宋体"/>
              </w:rPr>
              <w:t>2022年1月10日</w:t>
            </w:r>
          </w:p>
        </w:tc>
      </w:tr>
    </w:tbl>
    <w:p>
      <w:pPr>
        <w:pStyle w:val="2"/>
      </w:pPr>
    </w:p>
    <w:p>
      <w:pPr>
        <w:spacing w:before="156" w:beforeLines="50" w:line="360" w:lineRule="auto"/>
        <w:jc w:val="left"/>
        <w:outlineLvl w:val="1"/>
        <w:rPr>
          <w:rFonts w:ascii="宋体" w:hAnsi="宋体" w:eastAsia="宋体"/>
          <w:b/>
          <w:sz w:val="28"/>
          <w:szCs w:val="28"/>
        </w:rPr>
      </w:pPr>
      <w:r>
        <w:rPr>
          <w:rFonts w:hint="eastAsia" w:ascii="宋体" w:hAnsi="宋体" w:eastAsia="宋体"/>
          <w:b/>
          <w:sz w:val="28"/>
          <w:szCs w:val="28"/>
        </w:rPr>
        <w:t>三、结束语</w:t>
      </w:r>
    </w:p>
    <w:p>
      <w:pPr>
        <w:spacing w:line="360" w:lineRule="auto"/>
        <w:ind w:firstLine="480" w:firstLineChars="200"/>
        <w:rPr>
          <w:rFonts w:ascii="宋体" w:hAnsi="宋体"/>
          <w:sz w:val="24"/>
        </w:rPr>
      </w:pPr>
      <w:r>
        <w:rPr>
          <w:rFonts w:hint="eastAsia" w:ascii="宋体" w:hAnsi="宋体"/>
          <w:sz w:val="24"/>
        </w:rPr>
        <w:t>2022年，在全体员工的共同努力下，公司履行社会责任的成果也获得了各利益相关方及社会各界的肯定与认可。但与此同时，公司的社会责任履行仍然还有一定的提升空间，主要表现为：对社会责任履行工作的系统规划性还不够，尤其是针对国务院提出的脱贫规划以及涉及的精准扶贫社会责任情况，需进一步加强规划和完善。</w:t>
      </w:r>
    </w:p>
    <w:p>
      <w:pPr>
        <w:spacing w:line="360" w:lineRule="auto"/>
        <w:ind w:firstLine="480" w:firstLineChars="200"/>
        <w:rPr>
          <w:rFonts w:ascii="宋体" w:hAnsi="宋体"/>
          <w:sz w:val="24"/>
        </w:rPr>
      </w:pPr>
      <w:r>
        <w:rPr>
          <w:rFonts w:hint="eastAsia" w:ascii="宋体" w:hAnsi="宋体"/>
          <w:sz w:val="24"/>
        </w:rPr>
        <w:t>根据公司发展战略与国家扶贫规划，并结合公司具体实际，进一步做好总体规划和分项安排，切实做好精准扶贫社会责任的履行工作。</w:t>
      </w:r>
    </w:p>
    <w:p>
      <w:pPr>
        <w:spacing w:line="360" w:lineRule="auto"/>
        <w:ind w:firstLine="480" w:firstLineChars="200"/>
        <w:rPr>
          <w:rFonts w:ascii="宋体" w:hAnsi="宋体" w:eastAsia="宋体"/>
          <w:sz w:val="24"/>
          <w:szCs w:val="24"/>
        </w:rPr>
      </w:pPr>
      <w:r>
        <w:rPr>
          <w:rFonts w:hint="eastAsia" w:ascii="宋体" w:hAnsi="宋体"/>
          <w:sz w:val="24"/>
        </w:rPr>
        <w:t>202</w:t>
      </w:r>
      <w:r>
        <w:rPr>
          <w:rFonts w:ascii="宋体" w:hAnsi="宋体"/>
          <w:sz w:val="24"/>
        </w:rPr>
        <w:t>3</w:t>
      </w:r>
      <w:r>
        <w:rPr>
          <w:rFonts w:hint="eastAsia" w:ascii="宋体" w:hAnsi="宋体"/>
          <w:sz w:val="24"/>
        </w:rPr>
        <w:t>年，公司会继续将“社会责任与公司经营”相结合，在努力推动公司持续、稳健向前发展的同时，积极履行企业公民义务，着力维护各相关方利益，促进企业与社会、以及自然环境的和谐发展，为建设环境友好型和资源节约型社会做出应有的贡献，继续成为受人尊敬的公众公司</w:t>
      </w:r>
      <w:r>
        <w:rPr>
          <w:rFonts w:ascii="宋体" w:hAnsi="宋体" w:eastAsia="宋体"/>
          <w:sz w:val="24"/>
          <w:szCs w:val="24"/>
        </w:rPr>
        <w:t>。</w:t>
      </w:r>
    </w:p>
    <w:sectPr>
      <w:pgSz w:w="11906" w:h="16838"/>
      <w:pgMar w:top="1418"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今晚月色真美呢">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宋体" w:hAnsi="宋体" w:eastAsia="宋体" w:cs="Times New Roman"/>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NGJiYTBjOTFiMGVkODNmYWQxNTRmOTc5NmYxMTYifQ=="/>
    <w:docVar w:name="KSO_WPS_MARK_KEY" w:val="a7195b89-ade5-4d53-91ad-66a5e066ba57"/>
  </w:docVars>
  <w:rsids>
    <w:rsidRoot w:val="00A1490A"/>
    <w:rsid w:val="00004C94"/>
    <w:rsid w:val="0002027D"/>
    <w:rsid w:val="00027BCF"/>
    <w:rsid w:val="00056105"/>
    <w:rsid w:val="00093116"/>
    <w:rsid w:val="000951D9"/>
    <w:rsid w:val="000B5177"/>
    <w:rsid w:val="000C0F34"/>
    <w:rsid w:val="000D3535"/>
    <w:rsid w:val="000F34C1"/>
    <w:rsid w:val="000F690F"/>
    <w:rsid w:val="000F70B3"/>
    <w:rsid w:val="0011112F"/>
    <w:rsid w:val="0012567F"/>
    <w:rsid w:val="00127BCF"/>
    <w:rsid w:val="00133E2B"/>
    <w:rsid w:val="00180CD3"/>
    <w:rsid w:val="00182B1B"/>
    <w:rsid w:val="00187CDD"/>
    <w:rsid w:val="001A1DE1"/>
    <w:rsid w:val="001B1061"/>
    <w:rsid w:val="001B1631"/>
    <w:rsid w:val="001C5857"/>
    <w:rsid w:val="001D0772"/>
    <w:rsid w:val="00207A13"/>
    <w:rsid w:val="00210B97"/>
    <w:rsid w:val="00213E31"/>
    <w:rsid w:val="0021617C"/>
    <w:rsid w:val="00236ABB"/>
    <w:rsid w:val="00256D1F"/>
    <w:rsid w:val="00260954"/>
    <w:rsid w:val="0026368C"/>
    <w:rsid w:val="002745F9"/>
    <w:rsid w:val="00277388"/>
    <w:rsid w:val="00280F2A"/>
    <w:rsid w:val="002840B0"/>
    <w:rsid w:val="0028790D"/>
    <w:rsid w:val="00293655"/>
    <w:rsid w:val="002A2164"/>
    <w:rsid w:val="002B751F"/>
    <w:rsid w:val="002C69CE"/>
    <w:rsid w:val="002E50D5"/>
    <w:rsid w:val="002E5382"/>
    <w:rsid w:val="002F2B00"/>
    <w:rsid w:val="002F2D28"/>
    <w:rsid w:val="002F3CC1"/>
    <w:rsid w:val="00301FE3"/>
    <w:rsid w:val="003037E8"/>
    <w:rsid w:val="00311763"/>
    <w:rsid w:val="0031227E"/>
    <w:rsid w:val="00313437"/>
    <w:rsid w:val="00321F28"/>
    <w:rsid w:val="00362CA8"/>
    <w:rsid w:val="00374E03"/>
    <w:rsid w:val="00381ADF"/>
    <w:rsid w:val="00390D77"/>
    <w:rsid w:val="003A39FB"/>
    <w:rsid w:val="003A4AB7"/>
    <w:rsid w:val="003C7EDB"/>
    <w:rsid w:val="003D6D20"/>
    <w:rsid w:val="003E4B51"/>
    <w:rsid w:val="003F5874"/>
    <w:rsid w:val="0040560E"/>
    <w:rsid w:val="00413921"/>
    <w:rsid w:val="004273BA"/>
    <w:rsid w:val="00443CED"/>
    <w:rsid w:val="0044551B"/>
    <w:rsid w:val="00453161"/>
    <w:rsid w:val="004604A8"/>
    <w:rsid w:val="004649A7"/>
    <w:rsid w:val="0047035B"/>
    <w:rsid w:val="0047305D"/>
    <w:rsid w:val="0047327D"/>
    <w:rsid w:val="00483D90"/>
    <w:rsid w:val="00483E2F"/>
    <w:rsid w:val="004A504F"/>
    <w:rsid w:val="00522267"/>
    <w:rsid w:val="00542420"/>
    <w:rsid w:val="00542627"/>
    <w:rsid w:val="00552819"/>
    <w:rsid w:val="005571DE"/>
    <w:rsid w:val="005620B2"/>
    <w:rsid w:val="005956A0"/>
    <w:rsid w:val="00596D1B"/>
    <w:rsid w:val="005A1E8F"/>
    <w:rsid w:val="005B71BD"/>
    <w:rsid w:val="005C7AA4"/>
    <w:rsid w:val="005D4CDF"/>
    <w:rsid w:val="006063EE"/>
    <w:rsid w:val="00606491"/>
    <w:rsid w:val="00612EF9"/>
    <w:rsid w:val="00617936"/>
    <w:rsid w:val="00646C3D"/>
    <w:rsid w:val="006570E6"/>
    <w:rsid w:val="00665E58"/>
    <w:rsid w:val="00667E5E"/>
    <w:rsid w:val="00673165"/>
    <w:rsid w:val="006B64AB"/>
    <w:rsid w:val="006C14C3"/>
    <w:rsid w:val="006E1FAC"/>
    <w:rsid w:val="006E3736"/>
    <w:rsid w:val="00700788"/>
    <w:rsid w:val="00706105"/>
    <w:rsid w:val="00712A25"/>
    <w:rsid w:val="00713610"/>
    <w:rsid w:val="00713D09"/>
    <w:rsid w:val="007170CB"/>
    <w:rsid w:val="00723910"/>
    <w:rsid w:val="007249E1"/>
    <w:rsid w:val="007348CA"/>
    <w:rsid w:val="007455B7"/>
    <w:rsid w:val="0074719D"/>
    <w:rsid w:val="007509FC"/>
    <w:rsid w:val="00764173"/>
    <w:rsid w:val="00767522"/>
    <w:rsid w:val="00774AC7"/>
    <w:rsid w:val="007865EA"/>
    <w:rsid w:val="007D66AE"/>
    <w:rsid w:val="007D67EF"/>
    <w:rsid w:val="007E5AAF"/>
    <w:rsid w:val="008076D6"/>
    <w:rsid w:val="00820577"/>
    <w:rsid w:val="008235EE"/>
    <w:rsid w:val="008307FA"/>
    <w:rsid w:val="00833576"/>
    <w:rsid w:val="00835CA9"/>
    <w:rsid w:val="00836E3B"/>
    <w:rsid w:val="00842CA3"/>
    <w:rsid w:val="00842FD7"/>
    <w:rsid w:val="00846A94"/>
    <w:rsid w:val="008472BD"/>
    <w:rsid w:val="00847FFE"/>
    <w:rsid w:val="00874BD3"/>
    <w:rsid w:val="00880414"/>
    <w:rsid w:val="00886E68"/>
    <w:rsid w:val="0088717A"/>
    <w:rsid w:val="008A278D"/>
    <w:rsid w:val="008A73F9"/>
    <w:rsid w:val="008B572B"/>
    <w:rsid w:val="008C28BB"/>
    <w:rsid w:val="008D2A5E"/>
    <w:rsid w:val="008E70FD"/>
    <w:rsid w:val="00944D17"/>
    <w:rsid w:val="0096208B"/>
    <w:rsid w:val="00970660"/>
    <w:rsid w:val="0097540F"/>
    <w:rsid w:val="009A3E51"/>
    <w:rsid w:val="009B5556"/>
    <w:rsid w:val="009D5A54"/>
    <w:rsid w:val="009E2DE1"/>
    <w:rsid w:val="009F5CF9"/>
    <w:rsid w:val="00A0426A"/>
    <w:rsid w:val="00A04A7E"/>
    <w:rsid w:val="00A11D96"/>
    <w:rsid w:val="00A1490A"/>
    <w:rsid w:val="00A158FB"/>
    <w:rsid w:val="00A27272"/>
    <w:rsid w:val="00A274FD"/>
    <w:rsid w:val="00A33468"/>
    <w:rsid w:val="00A35937"/>
    <w:rsid w:val="00A42624"/>
    <w:rsid w:val="00A46FC7"/>
    <w:rsid w:val="00A51F3A"/>
    <w:rsid w:val="00A55626"/>
    <w:rsid w:val="00AC6789"/>
    <w:rsid w:val="00AE4D82"/>
    <w:rsid w:val="00AF5539"/>
    <w:rsid w:val="00B02729"/>
    <w:rsid w:val="00B37023"/>
    <w:rsid w:val="00B6123D"/>
    <w:rsid w:val="00B64A03"/>
    <w:rsid w:val="00B67975"/>
    <w:rsid w:val="00B75CE6"/>
    <w:rsid w:val="00B77633"/>
    <w:rsid w:val="00B83BEE"/>
    <w:rsid w:val="00B85884"/>
    <w:rsid w:val="00BA000F"/>
    <w:rsid w:val="00BA19EF"/>
    <w:rsid w:val="00BC5DB8"/>
    <w:rsid w:val="00BC6515"/>
    <w:rsid w:val="00BC73BE"/>
    <w:rsid w:val="00BD5158"/>
    <w:rsid w:val="00BF64D3"/>
    <w:rsid w:val="00C14F84"/>
    <w:rsid w:val="00C216F4"/>
    <w:rsid w:val="00C377A6"/>
    <w:rsid w:val="00C630CB"/>
    <w:rsid w:val="00C87577"/>
    <w:rsid w:val="00C95E44"/>
    <w:rsid w:val="00CA0539"/>
    <w:rsid w:val="00CB169F"/>
    <w:rsid w:val="00CB70ED"/>
    <w:rsid w:val="00CD3F7D"/>
    <w:rsid w:val="00CE5E86"/>
    <w:rsid w:val="00CF601C"/>
    <w:rsid w:val="00D2294E"/>
    <w:rsid w:val="00D34DCB"/>
    <w:rsid w:val="00D35AAA"/>
    <w:rsid w:val="00D8418F"/>
    <w:rsid w:val="00D85F24"/>
    <w:rsid w:val="00D93832"/>
    <w:rsid w:val="00D9489D"/>
    <w:rsid w:val="00D96BC1"/>
    <w:rsid w:val="00DC084B"/>
    <w:rsid w:val="00DC3F7E"/>
    <w:rsid w:val="00DD1916"/>
    <w:rsid w:val="00DE0CE5"/>
    <w:rsid w:val="00DE2852"/>
    <w:rsid w:val="00E3354F"/>
    <w:rsid w:val="00E51C3B"/>
    <w:rsid w:val="00E540CA"/>
    <w:rsid w:val="00E55619"/>
    <w:rsid w:val="00E63BCA"/>
    <w:rsid w:val="00E7480A"/>
    <w:rsid w:val="00E842AA"/>
    <w:rsid w:val="00E95ECF"/>
    <w:rsid w:val="00EB6C27"/>
    <w:rsid w:val="00EC3FD5"/>
    <w:rsid w:val="00ED066C"/>
    <w:rsid w:val="00EE193A"/>
    <w:rsid w:val="00EE50A4"/>
    <w:rsid w:val="00EE6FBB"/>
    <w:rsid w:val="00F276A1"/>
    <w:rsid w:val="00F32787"/>
    <w:rsid w:val="00F5520F"/>
    <w:rsid w:val="00F71C67"/>
    <w:rsid w:val="00F9640E"/>
    <w:rsid w:val="00FA72E1"/>
    <w:rsid w:val="00FC205E"/>
    <w:rsid w:val="00FD1655"/>
    <w:rsid w:val="00FD1AA3"/>
    <w:rsid w:val="09215A69"/>
    <w:rsid w:val="1C703D70"/>
    <w:rsid w:val="270743BD"/>
    <w:rsid w:val="27654EB9"/>
    <w:rsid w:val="2BB622EA"/>
    <w:rsid w:val="331E2DF2"/>
    <w:rsid w:val="35913904"/>
    <w:rsid w:val="37694FD0"/>
    <w:rsid w:val="41705BB9"/>
    <w:rsid w:val="42463EF6"/>
    <w:rsid w:val="4DD010CF"/>
    <w:rsid w:val="5CA369C5"/>
    <w:rsid w:val="63EC1C07"/>
    <w:rsid w:val="67A47C71"/>
    <w:rsid w:val="6B621EC6"/>
    <w:rsid w:val="6D3531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annotation text"/>
    <w:basedOn w:val="1"/>
    <w:link w:val="22"/>
    <w:semiHidden/>
    <w:unhideWhenUsed/>
    <w:qFormat/>
    <w:uiPriority w:val="99"/>
    <w:pPr>
      <w:jc w:val="left"/>
    </w:pPr>
  </w:style>
  <w:style w:type="paragraph" w:styleId="4">
    <w:name w:val="Balloon Text"/>
    <w:basedOn w:val="1"/>
    <w:link w:val="15"/>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jc w:val="left"/>
    </w:pPr>
    <w:rPr>
      <w:rFonts w:cs="Times New Roman"/>
      <w:kern w:val="0"/>
      <w:sz w:val="24"/>
    </w:rPr>
  </w:style>
  <w:style w:type="paragraph" w:styleId="8">
    <w:name w:val="annotation subject"/>
    <w:basedOn w:val="3"/>
    <w:next w:val="3"/>
    <w:link w:val="23"/>
    <w:semiHidden/>
    <w:unhideWhenUsed/>
    <w:qFormat/>
    <w:uiPriority w:val="99"/>
    <w:rPr>
      <w:b/>
      <w:bCs/>
    </w:rPr>
  </w:style>
  <w:style w:type="character" w:styleId="11">
    <w:name w:val="annotation reference"/>
    <w:basedOn w:val="10"/>
    <w:semiHidden/>
    <w:unhideWhenUsed/>
    <w:qFormat/>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批注框文本 字符"/>
    <w:basedOn w:val="10"/>
    <w:link w:val="4"/>
    <w:semiHidden/>
    <w:qFormat/>
    <w:uiPriority w:val="99"/>
    <w:rPr>
      <w:kern w:val="2"/>
      <w:sz w:val="18"/>
      <w:szCs w:val="18"/>
    </w:rPr>
  </w:style>
  <w:style w:type="paragraph" w:customStyle="1" w:styleId="16">
    <w:name w:val="p0"/>
    <w:basedOn w:val="1"/>
    <w:qFormat/>
    <w:uiPriority w:val="0"/>
    <w:pPr>
      <w:widowControl/>
    </w:pPr>
    <w:rPr>
      <w:kern w:val="0"/>
      <w:szCs w:val="21"/>
    </w:rPr>
  </w:style>
  <w:style w:type="paragraph" w:customStyle="1" w:styleId="17">
    <w:name w:val="Char"/>
    <w:basedOn w:val="1"/>
    <w:qFormat/>
    <w:uiPriority w:val="0"/>
  </w:style>
  <w:style w:type="character" w:customStyle="1" w:styleId="18">
    <w:name w:val="表格内容 Char"/>
    <w:link w:val="19"/>
    <w:qFormat/>
    <w:locked/>
    <w:uiPriority w:val="99"/>
    <w:rPr>
      <w:rFonts w:ascii="宋体" w:cs="宋体"/>
      <w:spacing w:val="-2"/>
      <w:sz w:val="18"/>
      <w:szCs w:val="18"/>
    </w:rPr>
  </w:style>
  <w:style w:type="paragraph" w:customStyle="1" w:styleId="19">
    <w:name w:val="表格内容"/>
    <w:basedOn w:val="1"/>
    <w:link w:val="18"/>
    <w:qFormat/>
    <w:uiPriority w:val="99"/>
    <w:pPr>
      <w:widowControl/>
      <w:spacing w:line="300" w:lineRule="auto"/>
      <w:jc w:val="left"/>
    </w:pPr>
    <w:rPr>
      <w:rFonts w:ascii="宋体" w:hAnsi="Calibri" w:eastAsia="宋体" w:cs="宋体"/>
      <w:spacing w:val="-2"/>
      <w:kern w:val="0"/>
      <w:sz w:val="18"/>
      <w:szCs w:val="18"/>
    </w:rPr>
  </w:style>
  <w:style w:type="paragraph" w:customStyle="1" w:styleId="20">
    <w:name w:val="段"/>
    <w:link w:val="2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1">
    <w:name w:val="段 Char"/>
    <w:link w:val="20"/>
    <w:qFormat/>
    <w:locked/>
    <w:uiPriority w:val="0"/>
    <w:rPr>
      <w:rFonts w:ascii="宋体" w:hAnsi="Times New Roman"/>
      <w:sz w:val="21"/>
    </w:rPr>
  </w:style>
  <w:style w:type="character" w:customStyle="1" w:styleId="22">
    <w:name w:val="批注文字 字符"/>
    <w:basedOn w:val="10"/>
    <w:link w:val="3"/>
    <w:semiHidden/>
    <w:qFormat/>
    <w:uiPriority w:val="99"/>
    <w:rPr>
      <w:rFonts w:asciiTheme="minorHAnsi" w:hAnsiTheme="minorHAnsi" w:eastAsiaTheme="minorEastAsia" w:cstheme="minorBidi"/>
      <w:kern w:val="2"/>
      <w:sz w:val="21"/>
      <w:szCs w:val="22"/>
    </w:rPr>
  </w:style>
  <w:style w:type="character" w:customStyle="1" w:styleId="23">
    <w:name w:val="批注主题 字符"/>
    <w:basedOn w:val="22"/>
    <w:link w:val="8"/>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Micorosoft</Company>
  <Pages>10</Pages>
  <Words>6014</Words>
  <Characters>6164</Characters>
  <Lines>46</Lines>
  <Paragraphs>13</Paragraphs>
  <TotalTime>6</TotalTime>
  <ScaleCrop>false</ScaleCrop>
  <LinksUpToDate>false</LinksUpToDate>
  <CharactersWithSpaces>6183</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2023-06-18T15:48:00Z</dcterms:created>
  <dc:creator>dell</dc:creator>
  <cp:lastModifiedBy>唱青春里的故事</cp:lastModifiedBy>
  <dcterms:modified xsi:type="dcterms:W3CDTF">2024-04-30T00:33:30Z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70E4BA7689DE4498840E5DA2E35A9C8B</vt:lpwstr>
  </property>
</Properties>
</file>